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3" w:rsidRPr="003465A9" w:rsidRDefault="003B42C3" w:rsidP="00FC3A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Огляд даних судової статистики про стан здійснення правосуддя </w:t>
      </w:r>
      <w:r w:rsidR="00AB0D7F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Коростенським 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міськрайонним судом Житомирської області за </w:t>
      </w:r>
      <w:r w:rsidR="002E0E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перше півріччя 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</w:t>
      </w:r>
      <w:r w:rsidR="002E0E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</w:t>
      </w:r>
      <w:r w:rsidR="002E0E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оку</w:t>
      </w:r>
      <w:r w:rsidR="00C42B8B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C42B8B" w:rsidRPr="003B42C3" w:rsidRDefault="00C42B8B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D2DE0" w:rsidRPr="005A78A8" w:rsidRDefault="003B42C3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завдання територіального управління Державної судової адміністрації України в Житомирській області відповідальними працівниками апарату </w:t>
      </w:r>
      <w:r w:rsidR="00AB0D7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Коростенського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міськрайонного суду Житомирської області проведено огляд даних судової статистики за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перше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Під час проведення даного огляду було використано статистичні </w:t>
      </w:r>
      <w:r w:rsidR="003465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дані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</w:t>
      </w:r>
      <w:r w:rsidR="003465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суду за 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перші півріччя 2018-2019 </w:t>
      </w:r>
      <w:proofErr w:type="spellStart"/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End"/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Обліково-статистична робота у Коростенському міськрайонному суді Житомирської області ведеться відповідно до Інструкції з діловодства в місцевих загальних судах, 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C2233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першому піврічч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2E0EE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Коростенському міськрайонному суді Житомирської області фактично працювали 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суддів, 23.08.2017 року закінчились повноваження у судді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Снігір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В.М.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в зв`язку з закінченням повноважень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однієї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удді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зменшилась кількість працюючих суддів до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чоловік, що вплинуло на кількість розглянутих справ  та на збільшення залишку.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працівниками апарату Коростенського міськрайонного суду Житомирської області належним чином було організовано прийом та своєчасну реєстрацію всіх справ та матеріалів, що надходили до суду.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Організаційна робота включала в себе: підготовку та здачу статистичних звітів; проведення взаємозвірки показників звітності щодо виправданих осіб та повернутих судом кримінальних справ з Коростенською місцевою прокуратурою; оновлення ВЕБ-сторінки суду; проведення навчання з працівниками апарату суду; підготовку та передачу справ до архіву суду; проведення нарад з працівниками апарату суду; подання інформації щодо кількості копій судових рішень, надісланих до ЄДРСР; ознайомлення з поточними змінами в законодавстві, підготовка фінансової звітності, проведення перевірки роботи канцелярії суду щодо повноти та своєчасності заповнення обліково-статистичних карток по кримінальних, цивільних та адміністративних справах та ін. 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суді протягом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проведено ряд організаційних заходів: головою суду та керівником апарату суду проведено наради по підсумках роботи  за попередні періоди  та з питань підготовки та здачі статистичних звітів;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підготовлено інформацію стосовно результатів розгляду справ із залишку станом на початок року;  проведено аналіз обліково-статистичної роботи за 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перші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оку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201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доведено  до відома працівників інформацію, яка систематично надходить з апеляційного суду Житомирської області, ТУ ДСА у Житомирській області; систематично надсилаються  до ЄДРСР копії судових рішень; надсилаються до ЄДРСР відомості щодо набрання судовими рішеннями законної сили.</w:t>
      </w: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65A9" w:rsidRPr="005A78A8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Усі квартальні звіти, аналізи, довідки  та інформації за </w:t>
      </w:r>
      <w:r w:rsidR="003B259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перше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C2233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C2233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Коростенським міськрайонним судом надіслані до ТУ ДСА  у визначені строки. Найпоширенішою проблемою, що виникає при складанні звітності є неточності та відсутність усіх даних  в обліково-статистичних картках. Недоліки усуваються відповідальними працівниками апарату суду. Також при складанні звітності враховуються прийняті протягом року зміни.</w:t>
      </w:r>
    </w:p>
    <w:p w:rsidR="003465A9" w:rsidRPr="005A78A8" w:rsidRDefault="003465A9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Default="003465A9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5A78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Так, </w:t>
      </w:r>
      <w:r w:rsidR="00CD2DE0" w:rsidRPr="005A78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протягом </w:t>
      </w:r>
      <w:r w:rsidR="00C22333" w:rsidRPr="005A78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першого півріччя </w:t>
      </w:r>
      <w:r w:rsidR="00CD2DE0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201</w:t>
      </w:r>
      <w:r w:rsidR="00C22333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9</w:t>
      </w:r>
      <w:r w:rsidR="00CD2DE0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 року  в  порівнянні  з  </w:t>
      </w:r>
      <w:r w:rsidR="00C22333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першим півріччям </w:t>
      </w:r>
      <w:r w:rsidR="00CD2DE0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201</w:t>
      </w:r>
      <w:r w:rsidR="00C22333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8</w:t>
      </w:r>
      <w:r w:rsidR="00CD2DE0" w:rsidRPr="005A7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 роком</w:t>
      </w:r>
      <w:r w:rsidR="00CD2DE0" w:rsidRPr="005A78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в провадження </w:t>
      </w:r>
      <w:r w:rsidR="00CD2DE0" w:rsidRPr="005A78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суду</w:t>
      </w:r>
      <w:r w:rsidRPr="005A78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Pr="005A78A8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  <w:lang w:val="uk-UA" w:eastAsia="ru-RU"/>
        </w:rPr>
        <w:t xml:space="preserve">надійшло </w:t>
      </w:r>
      <w:r w:rsidR="00CD2DE0" w:rsidRPr="005A78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:     </w:t>
      </w:r>
    </w:p>
    <w:p w:rsidR="00CD2DE0" w:rsidRPr="005A78A8" w:rsidRDefault="00CD2DE0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A78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597"/>
        <w:gridCol w:w="1152"/>
        <w:gridCol w:w="1152"/>
        <w:gridCol w:w="1305"/>
      </w:tblGrid>
      <w:tr w:rsidR="00131531" w:rsidRPr="00CD2DE0" w:rsidTr="00131531">
        <w:tc>
          <w:tcPr>
            <w:tcW w:w="549" w:type="dxa"/>
            <w:shd w:val="clear" w:color="auto" w:fill="auto"/>
          </w:tcPr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97" w:type="dxa"/>
            <w:shd w:val="clear" w:color="auto" w:fill="auto"/>
          </w:tcPr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Категорія справ</w:t>
            </w:r>
          </w:p>
        </w:tc>
        <w:tc>
          <w:tcPr>
            <w:tcW w:w="1152" w:type="dxa"/>
          </w:tcPr>
          <w:p w:rsidR="00131531" w:rsidRPr="00CD2DE0" w:rsidRDefault="00131531" w:rsidP="00593AF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593AF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8</w:t>
            </w: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152" w:type="dxa"/>
          </w:tcPr>
          <w:p w:rsidR="00131531" w:rsidRPr="00CD2DE0" w:rsidRDefault="00131531" w:rsidP="00593AF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593AF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9</w:t>
            </w: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305" w:type="dxa"/>
            <w:shd w:val="clear" w:color="auto" w:fill="auto"/>
          </w:tcPr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Різниця</w:t>
            </w:r>
          </w:p>
        </w:tc>
      </w:tr>
      <w:tr w:rsidR="00131531" w:rsidRPr="00CD2DE0" w:rsidTr="00131531">
        <w:tc>
          <w:tcPr>
            <w:tcW w:w="549" w:type="dxa"/>
            <w:shd w:val="clear" w:color="auto" w:fill="auto"/>
          </w:tcPr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1.</w:t>
            </w:r>
          </w:p>
          <w:p w:rsidR="00131531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4.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5.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6.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7.</w:t>
            </w:r>
          </w:p>
          <w:p w:rsidR="00131531" w:rsidRPr="00CD2DE0" w:rsidRDefault="00131531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кримінальні справи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кримінальні провадження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цивільні справи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адміністративні справи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справи про адміністративне правопорушення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розгляд слідчим суддею клопотань, скарг, заяв під час досудового розслідування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справи щодо розгляду питань у порядку виконання судових рішень</w:t>
            </w:r>
          </w:p>
          <w:p w:rsidR="00131531" w:rsidRPr="00FC665A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всього:</w:t>
            </w:r>
          </w:p>
        </w:tc>
        <w:tc>
          <w:tcPr>
            <w:tcW w:w="1152" w:type="dxa"/>
          </w:tcPr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C665A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190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1215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151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945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792</w:t>
            </w:r>
          </w:p>
          <w:p w:rsidR="00131531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424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3717</w:t>
            </w:r>
          </w:p>
        </w:tc>
        <w:tc>
          <w:tcPr>
            <w:tcW w:w="1152" w:type="dxa"/>
          </w:tcPr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182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1273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C665A">
              <w:rPr>
                <w:rFonts w:ascii="Times New Roman" w:hAnsi="Times New Roman" w:cs="Times New Roman"/>
                <w:lang w:val="uk-UA" w:eastAsia="ru-RU"/>
              </w:rPr>
              <w:t>107</w:t>
            </w:r>
          </w:p>
          <w:p w:rsidR="00131531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1063</w:t>
            </w:r>
          </w:p>
          <w:p w:rsidR="00131531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1279</w:t>
            </w:r>
          </w:p>
          <w:p w:rsidR="00131531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438</w:t>
            </w:r>
          </w:p>
          <w:p w:rsidR="00131531" w:rsidRPr="00FC665A" w:rsidRDefault="00131531" w:rsidP="00593AF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4343</w:t>
            </w:r>
          </w:p>
        </w:tc>
        <w:tc>
          <w:tcPr>
            <w:tcW w:w="1305" w:type="dxa"/>
            <w:shd w:val="clear" w:color="auto" w:fill="auto"/>
          </w:tcPr>
          <w:p w:rsidR="00131531" w:rsidRDefault="00131531" w:rsidP="00FC665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+1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-8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+58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-44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+118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+487</w:t>
            </w: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+14</w:t>
            </w:r>
          </w:p>
          <w:p w:rsidR="00131531" w:rsidRPr="00131531" w:rsidRDefault="00131531" w:rsidP="0013153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+626</w:t>
            </w:r>
          </w:p>
        </w:tc>
      </w:tr>
    </w:tbl>
    <w:p w:rsidR="00CD2DE0" w:rsidRPr="003B42C3" w:rsidRDefault="00CD2DE0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у </w:t>
      </w:r>
      <w:r w:rsidR="0056046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Коростенському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міськрайонному суді на розгляді перебувало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5275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 (у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4655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справ),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на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620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 більше у порівнянні з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першим півріччям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Дані судової статистики свідчать, що динаміка збільшення спостерігається у надходженні справ кримінального судочинства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розгляд слідчим суддею клопотань, скарг, заяв під час досудового слідства)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справ про адміністративні правопорушення 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справ адміністративного судочинства зменшилась  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44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порівняно з 201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роком, а 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</w:t>
      </w:r>
      <w:r w:rsidR="00396A7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збільшилась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надходження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справ цивільного судочинства </w:t>
      </w:r>
      <w:r w:rsidR="00F92B1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B42C3" w:rsidRDefault="00396A79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 першому півріччі 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F31C7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судом видано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1168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виконавчих документ</w:t>
      </w:r>
      <w:r w:rsidR="00F31C7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суму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8369431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 них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396 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стягнення судового збору на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суму 174075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 Контроль за своєчасним зверненням до виконання судових рішень здійснює суддя, у провадженні якого перебувала справа.</w:t>
      </w:r>
      <w:r w:rsidR="003B42C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A78A8" w:rsidRPr="005A78A8" w:rsidRDefault="005A78A8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43AF" w:rsidRPr="005A78A8" w:rsidRDefault="003B42C3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Структурно і динамічно загальні показники справ і матеріалів, що перебували в провадженні суду у </w:t>
      </w:r>
      <w:r w:rsid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перших півріччях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 </w:t>
      </w:r>
      <w:proofErr w:type="spellStart"/>
      <w:r w:rsid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р.р</w:t>
      </w:r>
      <w:proofErr w:type="spellEnd"/>
      <w:r w:rsid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видами судочинства представлено у діаграмі та таблиці</w:t>
      </w:r>
    </w:p>
    <w:p w:rsidR="003465A9" w:rsidRPr="005A78A8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Діаграма 1</w:t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465A9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09310" cy="226885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Таблиця 1</w:t>
      </w:r>
    </w:p>
    <w:p w:rsidR="005A78A8" w:rsidRPr="003B42C3" w:rsidRDefault="005A78A8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"/>
        <w:tblW w:w="9028" w:type="dxa"/>
        <w:tblLook w:val="04A0" w:firstRow="1" w:lastRow="0" w:firstColumn="1" w:lastColumn="0" w:noHBand="0" w:noVBand="1"/>
      </w:tblPr>
      <w:tblGrid>
        <w:gridCol w:w="4107"/>
        <w:gridCol w:w="1366"/>
        <w:gridCol w:w="1455"/>
        <w:gridCol w:w="2100"/>
      </w:tblGrid>
      <w:tr w:rsidR="00511AF0" w:rsidRPr="003B42C3" w:rsidTr="00511AF0">
        <w:tc>
          <w:tcPr>
            <w:tcW w:w="4107" w:type="dxa"/>
          </w:tcPr>
          <w:p w:rsidR="00511AF0" w:rsidRPr="003B42C3" w:rsidRDefault="00511AF0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Перебувало в провадженні справ та матеріалів</w:t>
            </w:r>
          </w:p>
        </w:tc>
        <w:tc>
          <w:tcPr>
            <w:tcW w:w="1366" w:type="dxa"/>
          </w:tcPr>
          <w:p w:rsidR="00511AF0" w:rsidRPr="003B42C3" w:rsidRDefault="0029728E" w:rsidP="002972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півріччя </w:t>
            </w:r>
            <w:r w:rsidR="00511AF0" w:rsidRPr="003B42C3">
              <w:rPr>
                <w:rFonts w:ascii="Times New Roman" w:hAnsi="Times New Roman"/>
                <w:b/>
                <w:sz w:val="20"/>
                <w:szCs w:val="20"/>
              </w:rPr>
              <w:t>2018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оку</w:t>
            </w:r>
          </w:p>
        </w:tc>
        <w:tc>
          <w:tcPr>
            <w:tcW w:w="1455" w:type="dxa"/>
          </w:tcPr>
          <w:p w:rsidR="0029728E" w:rsidRDefault="0029728E" w:rsidP="00A15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півріччя</w:t>
            </w:r>
          </w:p>
          <w:p w:rsidR="00511AF0" w:rsidRPr="003B42C3" w:rsidRDefault="00511AF0" w:rsidP="002972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="0029728E">
              <w:rPr>
                <w:rFonts w:ascii="Times New Roman" w:hAnsi="Times New Roman"/>
                <w:b/>
                <w:sz w:val="20"/>
                <w:szCs w:val="20"/>
              </w:rPr>
              <w:t>оку</w:t>
            </w:r>
          </w:p>
        </w:tc>
        <w:tc>
          <w:tcPr>
            <w:tcW w:w="2100" w:type="dxa"/>
          </w:tcPr>
          <w:p w:rsidR="00511AF0" w:rsidRPr="003B42C3" w:rsidRDefault="00511AF0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Динаміка, -/+</w:t>
            </w:r>
          </w:p>
        </w:tc>
      </w:tr>
      <w:tr w:rsidR="00511AF0" w:rsidRPr="003B42C3" w:rsidTr="00511AF0">
        <w:tc>
          <w:tcPr>
            <w:tcW w:w="4107" w:type="dxa"/>
          </w:tcPr>
          <w:p w:rsidR="00511AF0" w:rsidRPr="003B42C3" w:rsidRDefault="00511AF0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кримінального судочинства</w:t>
            </w:r>
          </w:p>
        </w:tc>
        <w:tc>
          <w:tcPr>
            <w:tcW w:w="1366" w:type="dxa"/>
          </w:tcPr>
          <w:p w:rsidR="00511AF0" w:rsidRPr="00511AF0" w:rsidRDefault="00511AF0" w:rsidP="00346D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1570</w:t>
            </w:r>
          </w:p>
        </w:tc>
        <w:tc>
          <w:tcPr>
            <w:tcW w:w="1455" w:type="dxa"/>
          </w:tcPr>
          <w:p w:rsidR="00511AF0" w:rsidRPr="00511AF0" w:rsidRDefault="00511AF0" w:rsidP="003B42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2185</w:t>
            </w:r>
          </w:p>
        </w:tc>
        <w:tc>
          <w:tcPr>
            <w:tcW w:w="2100" w:type="dxa"/>
          </w:tcPr>
          <w:p w:rsidR="00511AF0" w:rsidRPr="003B42C3" w:rsidRDefault="00511AF0" w:rsidP="00306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0682F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511AF0" w:rsidRPr="003B42C3" w:rsidTr="00511AF0">
        <w:tc>
          <w:tcPr>
            <w:tcW w:w="4107" w:type="dxa"/>
          </w:tcPr>
          <w:p w:rsidR="00511AF0" w:rsidRPr="003B42C3" w:rsidRDefault="00511AF0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адміністративного</w:t>
            </w:r>
          </w:p>
          <w:p w:rsidR="00511AF0" w:rsidRPr="003B42C3" w:rsidRDefault="00511AF0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судочинства</w:t>
            </w:r>
          </w:p>
        </w:tc>
        <w:tc>
          <w:tcPr>
            <w:tcW w:w="1366" w:type="dxa"/>
          </w:tcPr>
          <w:p w:rsidR="00511AF0" w:rsidRPr="00511AF0" w:rsidRDefault="00511AF0" w:rsidP="00346D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1455" w:type="dxa"/>
          </w:tcPr>
          <w:p w:rsidR="00511AF0" w:rsidRPr="00511AF0" w:rsidRDefault="00511AF0" w:rsidP="003B42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100" w:type="dxa"/>
          </w:tcPr>
          <w:p w:rsidR="00511AF0" w:rsidRPr="003B42C3" w:rsidRDefault="00511AF0" w:rsidP="00306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0682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511AF0" w:rsidRPr="003B42C3" w:rsidTr="00511AF0">
        <w:tc>
          <w:tcPr>
            <w:tcW w:w="4107" w:type="dxa"/>
          </w:tcPr>
          <w:p w:rsidR="00511AF0" w:rsidRPr="003B42C3" w:rsidRDefault="00511AF0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цивільного судочинства</w:t>
            </w:r>
          </w:p>
        </w:tc>
        <w:tc>
          <w:tcPr>
            <w:tcW w:w="1366" w:type="dxa"/>
          </w:tcPr>
          <w:p w:rsidR="00511AF0" w:rsidRPr="00511AF0" w:rsidRDefault="00511AF0" w:rsidP="00346D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1790</w:t>
            </w:r>
          </w:p>
        </w:tc>
        <w:tc>
          <w:tcPr>
            <w:tcW w:w="1455" w:type="dxa"/>
          </w:tcPr>
          <w:p w:rsidR="00511AF0" w:rsidRPr="00511AF0" w:rsidRDefault="00511AF0" w:rsidP="003B42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1806</w:t>
            </w:r>
          </w:p>
        </w:tc>
        <w:tc>
          <w:tcPr>
            <w:tcW w:w="2100" w:type="dxa"/>
          </w:tcPr>
          <w:p w:rsidR="00511AF0" w:rsidRPr="003B42C3" w:rsidRDefault="00511AF0" w:rsidP="00306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068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11AF0" w:rsidRPr="003B42C3" w:rsidTr="00511AF0">
        <w:tc>
          <w:tcPr>
            <w:tcW w:w="4107" w:type="dxa"/>
          </w:tcPr>
          <w:p w:rsidR="00511AF0" w:rsidRPr="003B42C3" w:rsidRDefault="00511AF0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про адміністративні правопорушення</w:t>
            </w:r>
          </w:p>
        </w:tc>
        <w:tc>
          <w:tcPr>
            <w:tcW w:w="1366" w:type="dxa"/>
          </w:tcPr>
          <w:p w:rsidR="00511AF0" w:rsidRPr="00511AF0" w:rsidRDefault="00511AF0" w:rsidP="00346D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1058</w:t>
            </w:r>
          </w:p>
        </w:tc>
        <w:tc>
          <w:tcPr>
            <w:tcW w:w="1455" w:type="dxa"/>
          </w:tcPr>
          <w:p w:rsidR="00511AF0" w:rsidRPr="00511AF0" w:rsidRDefault="00511AF0" w:rsidP="003B42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1161</w:t>
            </w:r>
          </w:p>
        </w:tc>
        <w:tc>
          <w:tcPr>
            <w:tcW w:w="2100" w:type="dxa"/>
          </w:tcPr>
          <w:p w:rsidR="00511AF0" w:rsidRPr="003B42C3" w:rsidRDefault="00511AF0" w:rsidP="00306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0682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p w:rsidR="003B42C3" w:rsidRDefault="003B42C3" w:rsidP="003B4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A78A8" w:rsidRDefault="005A78A8" w:rsidP="003B4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A78A8" w:rsidRPr="003B42C3" w:rsidRDefault="005A78A8" w:rsidP="003B4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Здійснення кримінального судочинства</w:t>
      </w:r>
    </w:p>
    <w:p w:rsidR="005A78A8" w:rsidRPr="005A78A8" w:rsidRDefault="005A78A8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B42C3" w:rsidRDefault="003B42C3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перше півріччя 2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до </w:t>
      </w:r>
      <w:r w:rsidR="00A951E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Коростенського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міськрайонного суду надійшло 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179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обвинувальних актів, </w:t>
      </w:r>
      <w:r w:rsidR="00CB6BB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="00CB6BB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CB6BB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="00D64B4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надійшло 184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225B7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Також, п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рослідковується збільшення кількості клопотань слідчих та прокурорів під час досудового розслідування, які розглядаються слідчими суддями, що пов’язано із</w:t>
      </w:r>
      <w:r w:rsidR="00CB6BB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внесенням змін до КПК України. </w:t>
      </w:r>
    </w:p>
    <w:p w:rsidR="005A78A8" w:rsidRDefault="005A78A8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Default="005A78A8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Default="005A78A8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Pr="005A78A8" w:rsidRDefault="005A78A8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Таблиця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1060"/>
        <w:gridCol w:w="1774"/>
        <w:gridCol w:w="856"/>
        <w:gridCol w:w="850"/>
        <w:gridCol w:w="2691"/>
      </w:tblGrid>
      <w:tr w:rsidR="003B42C3" w:rsidRPr="003B42C3" w:rsidTr="00867B92">
        <w:trPr>
          <w:trHeight w:val="6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999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Справи кримінального провадження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348</w:t>
            </w:r>
          </w:p>
        </w:tc>
      </w:tr>
      <w:tr w:rsidR="003B42C3" w:rsidRPr="003B42C3" w:rsidTr="00867B92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</w:tr>
      <w:tr w:rsidR="00F70057" w:rsidRPr="003B42C3" w:rsidTr="00867B92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Pr="003B42C3" w:rsidRDefault="00F70057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надання міжнародної правової допомоги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52</w:t>
            </w:r>
          </w:p>
        </w:tc>
      </w:tr>
      <w:tr w:rsidR="006455FB" w:rsidRPr="003B42C3" w:rsidTr="00867B92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Pr="003B42C3" w:rsidRDefault="006455FB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про перегляд судового рішення за ново виявленими та виключними обставинами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Кримінальні справи, матеріали (КПК 1960 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3B42C3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3B42C3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</w:tr>
      <w:tr w:rsidR="003B42C3" w:rsidRPr="003B42C3" w:rsidTr="00867B92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1369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E7663E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418</w:t>
            </w:r>
          </w:p>
        </w:tc>
      </w:tr>
    </w:tbl>
    <w:p w:rsidR="002E6553" w:rsidRDefault="002E655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F75DB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2E655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Коростенському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міськрайонному суді визначено спеціалізацію суддів, відповідно до якої </w:t>
      </w:r>
      <w:r w:rsidR="0099095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всі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судді</w:t>
      </w:r>
      <w:r w:rsidR="0099095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</w:t>
      </w:r>
      <w:r w:rsidR="0099095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глядають кримінальні справи та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двоє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слідчи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судд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99095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Волкова Н.Я.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Шульга О.М.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розгляда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клопотання, скарги, заяви під час досудового розслідування. </w:t>
      </w:r>
    </w:p>
    <w:p w:rsidR="003B42C3" w:rsidRPr="005A78A8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Загальна кількість розглянутих кримінальних проваджень становить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434E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 201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A434E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136</w:t>
      </w:r>
      <w:r w:rsidR="00A434E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на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проваджень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більше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ніж розглянуто у 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DD39A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 них найбільшу кількість становлять: злочини проти власності (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90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злочини </w:t>
      </w:r>
      <w:r w:rsidR="00613B9C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наркотичних засобів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злочини проти життя та здоров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особи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розглянутих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справ,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неповнолітніх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становлять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613B9C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</w:t>
      </w:r>
      <w:r w:rsidR="00613B9C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справ.</w:t>
      </w:r>
    </w:p>
    <w:p w:rsidR="003B42C3" w:rsidRPr="005A78A8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потерпілих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перше </w:t>
      </w:r>
      <w:proofErr w:type="gramStart"/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72EC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121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proofErr w:type="spellStart"/>
      <w:r w:rsidR="008524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 них 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56</w:t>
      </w:r>
      <w:r w:rsidR="008524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чол.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24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становлять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жінки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осіб,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заподіяно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шкоду – 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моральної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заподіяної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злочину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судом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визнано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7C28E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774589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2361FB" w:rsidRPr="005A78A8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070D" w:rsidRPr="005A78A8" w:rsidRDefault="0063070D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2C3" w:rsidRPr="005A78A8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В </w:t>
      </w:r>
      <w:proofErr w:type="spellStart"/>
      <w:proofErr w:type="gram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</w:t>
      </w:r>
      <w:proofErr w:type="gram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діаграмі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можна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прослідкувати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причини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відкладення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</w:t>
      </w:r>
    </w:p>
    <w:p w:rsidR="0063070D" w:rsidRDefault="0063070D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P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5A78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Діаграма</w:t>
      </w:r>
      <w:proofErr w:type="spellEnd"/>
      <w:r w:rsidRPr="005A78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2</w:t>
      </w:r>
    </w:p>
    <w:p w:rsidR="005A78A8" w:rsidRPr="005A78A8" w:rsidRDefault="005A78A8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63070D" w:rsidRPr="0063070D" w:rsidRDefault="0063070D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52490" cy="25273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070D" w:rsidRDefault="0063070D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A78A8" w:rsidRDefault="005A78A8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A78A8" w:rsidRDefault="005A78A8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Здійснення адміністративного судочинства</w:t>
      </w:r>
    </w:p>
    <w:p w:rsidR="005A78A8" w:rsidRPr="005A78A8" w:rsidRDefault="005A78A8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070D" w:rsidRPr="005A78A8" w:rsidRDefault="0063070D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Упродовж 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у </w:t>
      </w:r>
      <w:r w:rsidR="002361FB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Коростенському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міськрайонному суді перебувало </w:t>
      </w:r>
      <w:r w:rsidR="00255DB5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156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адміністративних справ та матеріалів, що на </w:t>
      </w:r>
      <w:r w:rsidR="00255DB5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81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адміністративн</w:t>
      </w:r>
      <w:r w:rsidR="00255DB5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</w:t>
      </w:r>
      <w:r w:rsidR="00255DB5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менше ніж у 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 якому цей показник становив </w:t>
      </w:r>
      <w:r w:rsidR="00C10403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237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справ. Вагоме зростання надходження адміністративних позовів у </w:t>
      </w:r>
      <w:r w:rsidR="003A2E9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021237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3A2E9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пов'язан</w:t>
      </w:r>
      <w:r w:rsidR="003A2E96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масовим зверненням учасників бойових дій до суду з позовами до </w:t>
      </w:r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Управління праці та соціального захисту населення виконавчого комітету </w:t>
      </w:r>
      <w:proofErr w:type="spellStart"/>
      <w:r w:rsidR="002361FB"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Коростенської</w:t>
      </w:r>
      <w:proofErr w:type="spellEnd"/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ради, Житомирського обласного центру по нарахуванню та здійсненню соціальних виплат Департаменту праці та соціального захисту населення Житомирської обласної державної адміністрації про визнання дій протиправними та стягнення недоплаченої грошової допомоги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передбаченої</w:t>
      </w:r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Законом України «Про статус ветеранів війни, гарантії їх соціального захисту»</w:t>
      </w:r>
      <w:r w:rsidR="003A2E96"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а також із позовами громадян про визнання дій протиправними та скасування постанови Управління патрульної поліції у Житомирській області про притягнення до адміністративної відповідальності, якою накладено штраф, винесену поліцейським роти №2 БУПП в Житомирській області ДПП.</w:t>
      </w:r>
    </w:p>
    <w:p w:rsid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A78A8" w:rsidRPr="005A78A8" w:rsidRDefault="005A78A8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3070D" w:rsidRDefault="0063070D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p w:rsidR="005A78A8" w:rsidRDefault="005A78A8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Таблиця 3</w:t>
      </w:r>
    </w:p>
    <w:p w:rsidR="005A78A8" w:rsidRPr="003B42C3" w:rsidRDefault="005A78A8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9"/>
        <w:gridCol w:w="1690"/>
        <w:gridCol w:w="992"/>
        <w:gridCol w:w="1276"/>
        <w:gridCol w:w="992"/>
        <w:gridCol w:w="992"/>
        <w:gridCol w:w="2552"/>
      </w:tblGrid>
      <w:tr w:rsidR="003B42C3" w:rsidRPr="003B42C3" w:rsidTr="00867B92">
        <w:trPr>
          <w:trHeight w:val="6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114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адміністративне судочинство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3B42C3" w:rsidRPr="003B42C3" w:rsidTr="00867B9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3B42C3" w:rsidRPr="003B42C3" w:rsidTr="00867B9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71F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</w:tr>
    </w:tbl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5A78A8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Результати розгляду адміністративних справ та матеріалів  у</w:t>
      </w:r>
      <w:r w:rsidR="008179B1"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першому півріччі</w:t>
      </w:r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201</w:t>
      </w:r>
      <w:r w:rsidR="008179B1"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</w:t>
      </w:r>
      <w:r w:rsidR="008179B1" w:rsidRPr="005A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ку</w:t>
      </w:r>
    </w:p>
    <w:p w:rsidR="001A3824" w:rsidRPr="003B42C3" w:rsidRDefault="001A3824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Діаграма </w:t>
      </w:r>
      <w:r w:rsidR="00EC1C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3</w:t>
      </w:r>
    </w:p>
    <w:p w:rsidR="001A3824" w:rsidRPr="003B42C3" w:rsidRDefault="001A3824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374005" cy="1708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824" w:rsidRPr="003B42C3" w:rsidRDefault="001A3824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розгляду справ основними причинами відкладення були неявки учасників процесу.</w:t>
      </w:r>
    </w:p>
    <w:p w:rsidR="003B42C3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кінець звітного періоду </w:t>
      </w:r>
      <w:r w:rsidR="00C83EA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C83EA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залишил</w:t>
      </w:r>
      <w:r w:rsidR="00B131F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ись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нерозглянут</w:t>
      </w:r>
      <w:r w:rsidR="00B131F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  <w:r w:rsidR="00C83EA8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адміністративн</w:t>
      </w:r>
      <w:r w:rsidR="00B131F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справа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матеріалів.</w:t>
      </w:r>
      <w:r w:rsidR="00B131F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72692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Default="005A78A8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A8" w:rsidRPr="005A78A8" w:rsidRDefault="005A78A8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2692" w:rsidRPr="005A78A8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3A1A" w:rsidRDefault="00FC3A1A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B42C3" w:rsidRPr="005A78A8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Здійснення цивільного судочинства</w:t>
      </w:r>
    </w:p>
    <w:p w:rsidR="00672692" w:rsidRPr="005A78A8" w:rsidRDefault="0067269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B42C3" w:rsidRPr="005A78A8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Протягом 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</w:t>
      </w:r>
      <w:proofErr w:type="gramStart"/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івріччя 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FF3BAE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в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провадженні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суду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перебувало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4F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2629</w:t>
      </w:r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цивільних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 та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залишків</w:t>
      </w:r>
      <w:proofErr w:type="spellEnd"/>
      <w:r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що на </w:t>
      </w:r>
      <w:r w:rsidR="00374F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839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4F1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більше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proofErr w:type="spellEnd"/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( в 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першому півріччі 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 року –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A3824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1790 справ та матеріалів</w:t>
      </w:r>
      <w:r w:rsidR="00B443A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).</w:t>
      </w:r>
    </w:p>
    <w:p w:rsidR="004A1C8E" w:rsidRPr="005A78A8" w:rsidRDefault="004A1C8E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3B42C3" w:rsidRPr="005A78A8" w:rsidRDefault="00B443AF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5A78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Таблиця</w:t>
      </w:r>
      <w:proofErr w:type="spellEnd"/>
      <w:r w:rsidRPr="005A78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5A78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4</w:t>
      </w:r>
    </w:p>
    <w:p w:rsidR="004A1C8E" w:rsidRDefault="004A1C8E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672692" w:rsidRPr="00B443AF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8"/>
        <w:gridCol w:w="2522"/>
        <w:gridCol w:w="2528"/>
        <w:gridCol w:w="2591"/>
      </w:tblGrid>
      <w:tr w:rsidR="003B42C3" w:rsidRPr="003B42C3" w:rsidTr="00634908">
        <w:trPr>
          <w:trHeight w:val="788"/>
        </w:trPr>
        <w:tc>
          <w:tcPr>
            <w:tcW w:w="2548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Перебувало у провадженні суду</w:t>
            </w:r>
          </w:p>
        </w:tc>
        <w:tc>
          <w:tcPr>
            <w:tcW w:w="2522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перше півріччя 2018 року</w:t>
            </w:r>
          </w:p>
        </w:tc>
        <w:tc>
          <w:tcPr>
            <w:tcW w:w="2528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перше півріччя 2019 року</w:t>
            </w:r>
          </w:p>
        </w:tc>
        <w:tc>
          <w:tcPr>
            <w:tcW w:w="2591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 +/-</w:t>
            </w:r>
          </w:p>
        </w:tc>
      </w:tr>
      <w:tr w:rsidR="003B42C3" w:rsidRPr="003B42C3" w:rsidTr="00634908">
        <w:trPr>
          <w:trHeight w:val="558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Позовне провадження</w:t>
            </w:r>
          </w:p>
        </w:tc>
        <w:tc>
          <w:tcPr>
            <w:tcW w:w="2522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2528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2591" w:type="dxa"/>
          </w:tcPr>
          <w:p w:rsidR="003B42C3" w:rsidRPr="003B42C3" w:rsidRDefault="0063490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+87</w:t>
            </w:r>
          </w:p>
        </w:tc>
      </w:tr>
      <w:tr w:rsidR="003B42C3" w:rsidRPr="003B42C3" w:rsidTr="00634908">
        <w:trPr>
          <w:trHeight w:val="694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Окреме провадження</w:t>
            </w:r>
          </w:p>
        </w:tc>
        <w:tc>
          <w:tcPr>
            <w:tcW w:w="2522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91" w:type="dxa"/>
          </w:tcPr>
          <w:p w:rsidR="003B42C3" w:rsidRPr="003B42C3" w:rsidRDefault="0063490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</w:tr>
      <w:tr w:rsidR="003B42C3" w:rsidRPr="003B42C3" w:rsidTr="00634908">
        <w:trPr>
          <w:trHeight w:val="703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Наказне провадження</w:t>
            </w:r>
          </w:p>
        </w:tc>
        <w:tc>
          <w:tcPr>
            <w:tcW w:w="2522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28" w:type="dxa"/>
          </w:tcPr>
          <w:p w:rsidR="003B42C3" w:rsidRPr="003B42C3" w:rsidRDefault="00FA00D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591" w:type="dxa"/>
          </w:tcPr>
          <w:p w:rsidR="003B42C3" w:rsidRPr="003B42C3" w:rsidRDefault="0063490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</w:tbl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3A1A" w:rsidRPr="003B42C3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розглянутих заяв про видачу судового наказу – </w:t>
      </w:r>
      <w:r w:rsidR="0031512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143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 них видано судових наказів – </w:t>
      </w:r>
      <w:r w:rsidR="00C57F96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122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відмовлено у видачі судового наказу – </w:t>
      </w:r>
      <w:r w:rsidR="00C57F96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72692" w:rsidRPr="005A78A8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2692" w:rsidRPr="005A78A8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розглянутих справ позовного провадження –</w:t>
      </w:r>
      <w:r w:rsidR="00BA7F0D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900C9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>721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яких, р</w:t>
      </w:r>
      <w:r w:rsidR="005900C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озглянуті з ухваленням рішення</w:t>
      </w:r>
      <w:r w:rsidR="005900C9" w:rsidRPr="005A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00C9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Залишок нерозглянутих справ і матеріалів на кінець звітного періоду становить 384.</w:t>
      </w:r>
    </w:p>
    <w:p w:rsidR="005900C9" w:rsidRPr="005A78A8" w:rsidRDefault="005900C9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1C8E" w:rsidRPr="005A78A8" w:rsidRDefault="003B42C3" w:rsidP="004A1C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Справи окремого провадження розглянуто у кількості </w:t>
      </w:r>
      <w:r w:rsidR="004A1C8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69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справ. У </w:t>
      </w:r>
      <w:r w:rsidR="004A1C8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59</w:t>
      </w:r>
      <w:r w:rsidR="00904B8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справах ухвалено</w:t>
      </w:r>
      <w:r w:rsidR="00904B8F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рішення, </w:t>
      </w:r>
      <w:r w:rsidR="004A1C8E"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залишок нерозглянутих справ і матеріалів на кінець звітного періоду становить 17.</w:t>
      </w:r>
    </w:p>
    <w:p w:rsidR="00904B8F" w:rsidRPr="005A78A8" w:rsidRDefault="00904B8F" w:rsidP="00904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3A1A" w:rsidRPr="005A78A8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4B8F" w:rsidRPr="005A78A8" w:rsidRDefault="00904B8F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2692" w:rsidRPr="005A78A8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3B42C3" w:rsidRPr="005A78A8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A78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Таблиця </w:t>
      </w:r>
      <w:r w:rsidR="008B230F" w:rsidRPr="005A78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5</w:t>
      </w:r>
    </w:p>
    <w:tbl>
      <w:tblPr>
        <w:tblpPr w:leftFromText="180" w:rightFromText="180" w:vertAnchor="text" w:horzAnchor="margin" w:tblpX="-601" w:tblpY="-34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604"/>
        <w:gridCol w:w="2081"/>
        <w:gridCol w:w="709"/>
        <w:gridCol w:w="884"/>
        <w:gridCol w:w="993"/>
        <w:gridCol w:w="1559"/>
        <w:gridCol w:w="2517"/>
      </w:tblGrid>
      <w:tr w:rsidR="003B42C3" w:rsidRPr="003B42C3" w:rsidTr="00867B92">
        <w:trPr>
          <w:trHeight w:val="600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276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1363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цивільне судочинство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видачу/скасування судового наказу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</w:tr>
      <w:tr w:rsidR="008C7171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7171" w:rsidRPr="003B42C3" w:rsidRDefault="008C7171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171" w:rsidRPr="003B42C3" w:rsidRDefault="008C7171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4A1C8E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174</w:t>
            </w:r>
          </w:p>
        </w:tc>
      </w:tr>
      <w:tr w:rsidR="003B42C3" w:rsidRPr="003B42C3" w:rsidTr="00867B92">
        <w:trPr>
          <w:trHeight w:val="2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позовного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384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заочного рішення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рішень, ухвал суду чи судових наказів у зв’язку з нововиявленими або виключними обставинами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відновлення втраченого судового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Скарги на дії або бездіяльність виконавчої служби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Доручення судів України / іноземних судів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625A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9F633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FF732B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FF732B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1750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0646F" w:rsidP="009F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610</w:t>
            </w:r>
            <w:r w:rsidR="007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                           </w:t>
            </w:r>
          </w:p>
        </w:tc>
      </w:tr>
    </w:tbl>
    <w:p w:rsidR="003B42C3" w:rsidRP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3B42C3" w:rsidRPr="00FC3A1A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Розгляд справ про адміністративні правопорушення</w:t>
      </w:r>
    </w:p>
    <w:p w:rsidR="008235D2" w:rsidRPr="00FC3A1A" w:rsidRDefault="008235D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першого півріччя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до </w:t>
      </w:r>
      <w:r w:rsidR="00E56C90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Коростенського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міськрайонного суду надійшло 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1063</w:t>
      </w:r>
      <w:r w:rsidR="00E56C90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235D2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</w:t>
      </w:r>
      <w:r w:rsidR="00E56C90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322C27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118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матеріалів про адміністративні правопорушення більше в порівнянні з 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першим півріччям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</w:t>
      </w:r>
      <w:r w:rsidR="002847EF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22C27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 першому півріччі 2018 року надійшло 945 )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9529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A1A" w:rsidRDefault="00FC3A1A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Найбільша кількість справ, що перебували  в провадженні суду, рахуються за ст. 130 </w:t>
      </w:r>
      <w:proofErr w:type="spellStart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КУпАП</w:t>
      </w:r>
      <w:proofErr w:type="spellEnd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33656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153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 ст. 124 </w:t>
      </w:r>
      <w:proofErr w:type="spellStart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КУпАП</w:t>
      </w:r>
      <w:proofErr w:type="spellEnd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33656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96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 ст. 183-1 КУпАП </w:t>
      </w:r>
      <w:r w:rsidR="00533656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-35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справ, за ст.173-2 КУпАП - </w:t>
      </w:r>
      <w:r w:rsidR="00533656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279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 ст.172-20 </w:t>
      </w:r>
      <w:proofErr w:type="spellStart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КУпАП</w:t>
      </w:r>
      <w:proofErr w:type="spellEnd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33656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справ. </w:t>
      </w: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left="7920" w:firstLine="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Таблиця </w:t>
      </w:r>
      <w:r w:rsidR="00DA4E6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6</w:t>
      </w:r>
    </w:p>
    <w:tbl>
      <w:tblPr>
        <w:tblW w:w="10501" w:type="dxa"/>
        <w:tblInd w:w="-459" w:type="dxa"/>
        <w:tblLook w:val="04A0" w:firstRow="1" w:lastRow="0" w:firstColumn="1" w:lastColumn="0" w:noHBand="0" w:noVBand="1"/>
      </w:tblPr>
      <w:tblGrid>
        <w:gridCol w:w="459"/>
        <w:gridCol w:w="2851"/>
        <w:gridCol w:w="1044"/>
        <w:gridCol w:w="2167"/>
        <w:gridCol w:w="1134"/>
        <w:gridCol w:w="1288"/>
        <w:gridCol w:w="1558"/>
      </w:tblGrid>
      <w:tr w:rsidR="003B42C3" w:rsidRPr="003B42C3" w:rsidTr="00867B92">
        <w:trPr>
          <w:trHeight w:val="600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4A6C7D">
        <w:trPr>
          <w:trHeight w:val="811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адміністративні правопорушення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229</w:t>
            </w:r>
          </w:p>
        </w:tc>
      </w:tr>
      <w:tr w:rsidR="003B42C3" w:rsidRPr="003B42C3" w:rsidTr="00867B92">
        <w:trPr>
          <w:trHeight w:val="3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 тому числі щодо корупційних правопорушень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B42C3" w:rsidRPr="003B42C3" w:rsidTr="004A6C7D">
        <w:trPr>
          <w:trHeight w:val="8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26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73462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235</w:t>
            </w:r>
          </w:p>
        </w:tc>
      </w:tr>
    </w:tbl>
    <w:p w:rsidR="00765794" w:rsidRDefault="00765794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штатного розпису у </w:t>
      </w:r>
      <w:r w:rsidR="0079124D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Коростенському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міськрайонному суді – 1</w:t>
      </w:r>
      <w:r w:rsidR="0079124D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посад суддів. Станом на 01.0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.2019 фактично працює 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суддів, 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суддя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повноважень.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 чим збільшено навантаження на суддів, що негативно вплинуло на оперативність розгляду справ.</w:t>
      </w:r>
      <w:r w:rsidR="0079124D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якості ухвалення рішень судді застосовують положення Закону, виходячи із принципу верховенства права, при цьому, здійснюючи судочинство, керуються Конституцією та законами України, враховують обставини справи та дають їм об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eastAsia="uk-UA"/>
        </w:rPr>
        <w:t>`</w:t>
      </w:r>
      <w:proofErr w:type="spellStart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єктивну</w:t>
      </w:r>
      <w:proofErr w:type="spellEnd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оцінку. Вивчення стану здійснення судочинства у 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Коростенському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міськрайонному суді включено у плани роботи суду. Постійно проводяться аналізи та узагальнення щодо розгляду справ суддями. Суддями обговорюються допущені порушення норм матеріального та процесуального права при розгляді цивільних, адміністративних, кримінальних справ (проваджень), а також справ про адміністративні правопорушення, які потягнули скасування чи зміни рішень в апеляційному порядку. </w:t>
      </w: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Провівши огляд даних судової статистики про стан здійснення правосуддя 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Коростенським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судом Житомирської області за 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перше півріччя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179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можна зробити наступні висновки. </w:t>
      </w: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Незважаючи на складність в роботі та значне фактичне навантаження, 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Коростенський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міськрайонний</w:t>
      </w:r>
      <w:proofErr w:type="spellEnd"/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 в цілому забезпечив правильне і своєчасне 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вирішення переважної більшості судових справ, що було досягнуто у результаті сумлінної роботи суддів та працівників апарату суду. </w:t>
      </w:r>
    </w:p>
    <w:p w:rsidR="003B42C3" w:rsidRPr="00FC3A1A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вищевикладене, </w:t>
      </w:r>
      <w:r w:rsidR="00765794"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Коростенським</w:t>
      </w:r>
      <w:r w:rsidRPr="00FC3A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судом забезпечено належне здійснення судочинства у кримінальних, цивільних, адміністративних справах та справах про адміністративні правопорушення.</w:t>
      </w:r>
      <w:r w:rsidRPr="00FC3A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4A6C7D" w:rsidRPr="00FC3A1A" w:rsidRDefault="004A6C7D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2E0517" w:rsidRPr="00FC3A1A" w:rsidRDefault="00765794" w:rsidP="0076579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A1A">
        <w:rPr>
          <w:rFonts w:ascii="Times New Roman" w:hAnsi="Times New Roman" w:cs="Times New Roman"/>
          <w:b/>
          <w:sz w:val="28"/>
          <w:szCs w:val="28"/>
          <w:lang w:val="uk-UA"/>
        </w:rPr>
        <w:t>Голова Коростенського міськрайонного суду</w:t>
      </w:r>
    </w:p>
    <w:p w:rsidR="00765794" w:rsidRDefault="00765794" w:rsidP="0076579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A1A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A6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В.П. Коренюк</w:t>
      </w:r>
    </w:p>
    <w:p w:rsidR="004A6C7D" w:rsidRDefault="004A6C7D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765794">
        <w:rPr>
          <w:rFonts w:ascii="Times New Roman" w:hAnsi="Times New Roman" w:cs="Times New Roman"/>
          <w:sz w:val="16"/>
          <w:szCs w:val="16"/>
          <w:lang w:val="uk-UA"/>
        </w:rPr>
        <w:t>Янкова (04142) 3-00-11</w:t>
      </w: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Pr="00765794" w:rsidRDefault="009C4179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18.07</w:t>
      </w:r>
      <w:r w:rsidR="00765794">
        <w:rPr>
          <w:rFonts w:ascii="Times New Roman" w:hAnsi="Times New Roman" w:cs="Times New Roman"/>
          <w:sz w:val="16"/>
          <w:szCs w:val="16"/>
          <w:lang w:val="uk-UA"/>
        </w:rPr>
        <w:t>.2019</w:t>
      </w:r>
    </w:p>
    <w:sectPr w:rsidR="00765794" w:rsidRPr="00765794" w:rsidSect="00D75A71">
      <w:pgSz w:w="12240" w:h="15840"/>
      <w:pgMar w:top="568" w:right="850" w:bottom="426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865"/>
    <w:multiLevelType w:val="hybridMultilevel"/>
    <w:tmpl w:val="9F0051F0"/>
    <w:lvl w:ilvl="0" w:tplc="2708D54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3"/>
    <w:rsid w:val="00021237"/>
    <w:rsid w:val="000D518F"/>
    <w:rsid w:val="00131531"/>
    <w:rsid w:val="001871DD"/>
    <w:rsid w:val="001A3824"/>
    <w:rsid w:val="001F75DB"/>
    <w:rsid w:val="002225B7"/>
    <w:rsid w:val="002361FB"/>
    <w:rsid w:val="00255DB5"/>
    <w:rsid w:val="002847EF"/>
    <w:rsid w:val="0029728E"/>
    <w:rsid w:val="002E0517"/>
    <w:rsid w:val="002E0EEB"/>
    <w:rsid w:val="002E6553"/>
    <w:rsid w:val="0030682F"/>
    <w:rsid w:val="0031512D"/>
    <w:rsid w:val="00322C27"/>
    <w:rsid w:val="003465A9"/>
    <w:rsid w:val="00371F26"/>
    <w:rsid w:val="00374F1D"/>
    <w:rsid w:val="00396A79"/>
    <w:rsid w:val="003A2E96"/>
    <w:rsid w:val="003B259B"/>
    <w:rsid w:val="003B42C3"/>
    <w:rsid w:val="00410A5A"/>
    <w:rsid w:val="00453543"/>
    <w:rsid w:val="004A1C8E"/>
    <w:rsid w:val="004A6C7D"/>
    <w:rsid w:val="005119BC"/>
    <w:rsid w:val="00511AF0"/>
    <w:rsid w:val="00533656"/>
    <w:rsid w:val="00560468"/>
    <w:rsid w:val="005900C9"/>
    <w:rsid w:val="00597C42"/>
    <w:rsid w:val="005A78A8"/>
    <w:rsid w:val="005F0888"/>
    <w:rsid w:val="00602EFF"/>
    <w:rsid w:val="00613B9C"/>
    <w:rsid w:val="0063070D"/>
    <w:rsid w:val="00634908"/>
    <w:rsid w:val="006455FB"/>
    <w:rsid w:val="00672692"/>
    <w:rsid w:val="00734623"/>
    <w:rsid w:val="007625A1"/>
    <w:rsid w:val="00765794"/>
    <w:rsid w:val="0079124D"/>
    <w:rsid w:val="007C28E4"/>
    <w:rsid w:val="0080646F"/>
    <w:rsid w:val="008179B1"/>
    <w:rsid w:val="00820CB5"/>
    <w:rsid w:val="008235D2"/>
    <w:rsid w:val="00832FB8"/>
    <w:rsid w:val="0085241D"/>
    <w:rsid w:val="008B230F"/>
    <w:rsid w:val="008C7171"/>
    <w:rsid w:val="00904B8F"/>
    <w:rsid w:val="00942205"/>
    <w:rsid w:val="00990956"/>
    <w:rsid w:val="009C4179"/>
    <w:rsid w:val="009F6333"/>
    <w:rsid w:val="00A15856"/>
    <w:rsid w:val="00A4148A"/>
    <w:rsid w:val="00A434E8"/>
    <w:rsid w:val="00A60BEE"/>
    <w:rsid w:val="00A70C44"/>
    <w:rsid w:val="00A951EF"/>
    <w:rsid w:val="00AB0D7F"/>
    <w:rsid w:val="00AF61D3"/>
    <w:rsid w:val="00B131FE"/>
    <w:rsid w:val="00B23018"/>
    <w:rsid w:val="00B443AF"/>
    <w:rsid w:val="00B97B5D"/>
    <w:rsid w:val="00BA7F0D"/>
    <w:rsid w:val="00C10403"/>
    <w:rsid w:val="00C155C1"/>
    <w:rsid w:val="00C22333"/>
    <w:rsid w:val="00C42B8B"/>
    <w:rsid w:val="00C57F96"/>
    <w:rsid w:val="00C655D9"/>
    <w:rsid w:val="00C83EA8"/>
    <w:rsid w:val="00CB6BB9"/>
    <w:rsid w:val="00CD2DE0"/>
    <w:rsid w:val="00D64B4B"/>
    <w:rsid w:val="00D668EF"/>
    <w:rsid w:val="00D738DC"/>
    <w:rsid w:val="00D74C06"/>
    <w:rsid w:val="00DA4E67"/>
    <w:rsid w:val="00DD39A9"/>
    <w:rsid w:val="00E56C90"/>
    <w:rsid w:val="00E7287D"/>
    <w:rsid w:val="00E72EC6"/>
    <w:rsid w:val="00E7663E"/>
    <w:rsid w:val="00EC1CB9"/>
    <w:rsid w:val="00F179D7"/>
    <w:rsid w:val="00F31C76"/>
    <w:rsid w:val="00F46340"/>
    <w:rsid w:val="00F70057"/>
    <w:rsid w:val="00F81FAF"/>
    <w:rsid w:val="00F92B19"/>
    <w:rsid w:val="00FA00D8"/>
    <w:rsid w:val="00FC3A1A"/>
    <w:rsid w:val="00FC5743"/>
    <w:rsid w:val="00FC665A"/>
    <w:rsid w:val="00FF3BA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31147540983612E-2"/>
          <c:y val="5.2631578947368418E-2"/>
          <c:w val="0.58196721311475408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кримінального судочинства</c:v>
                </c:pt>
              </c:strCache>
            </c:strRef>
          </c:tx>
          <c:spPr>
            <a:solidFill>
              <a:srgbClr val="9999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1570</c:v>
                </c:pt>
                <c:pt idx="1">
                  <c:v>2185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адміністративного судочинства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237</c:v>
                </c:pt>
                <c:pt idx="1">
                  <c:v>123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Справи цивільного судочинства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1790</c:v>
                </c:pt>
                <c:pt idx="1">
                  <c:v>1806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1058</c:v>
                </c:pt>
                <c:pt idx="1">
                  <c:v>1161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074688"/>
        <c:axId val="41076224"/>
        <c:axId val="0"/>
      </c:bar3DChart>
      <c:catAx>
        <c:axId val="41074688"/>
        <c:scaling>
          <c:orientation val="minMax"/>
        </c:scaling>
        <c:delete val="0"/>
        <c:axPos val="b"/>
        <c:numFmt formatCode="#,##0;\-#,##0" sourceLinked="0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107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76224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1074688"/>
        <c:crosses val="autoZero"/>
        <c:crossBetween val="between"/>
      </c:valAx>
      <c:spPr>
        <a:noFill/>
        <a:ln w="19058">
          <a:noFill/>
        </a:ln>
      </c:spPr>
    </c:plotArea>
    <c:legend>
      <c:legendPos val="r"/>
      <c:layout>
        <c:manualLayout>
          <c:xMode val="edge"/>
          <c:yMode val="edge"/>
          <c:x val="0.67213114754098358"/>
          <c:y val="0.17543859649122806"/>
          <c:w val="0.32131147540983607"/>
          <c:h val="0.6535087719298245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4983713355049"/>
          <c:y val="4.296875E-2"/>
          <c:w val="0.49022801302931596"/>
          <c:h val="0.77343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Нездійснення доставки обвинуваченого</c:v>
                </c:pt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Неприбуття обвинуваченого</c:v>
                </c:pt>
              </c:strCache>
            </c:strRef>
          </c:tx>
          <c:spPr>
            <a:solidFill>
              <a:srgbClr val="9933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197</c:v>
                </c:pt>
                <c:pt idx="1">
                  <c:v>124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Хвороба обвинуваченого</c:v>
                </c:pt>
              </c:strCache>
            </c:strRef>
          </c:tx>
          <c:spPr>
            <a:solidFill>
              <a:srgbClr val="FFFF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Неприбуття прокурора</c:v>
                </c:pt>
              </c:strCache>
            </c:strRef>
          </c:tx>
          <c:spPr>
            <a:solidFill>
              <a:srgbClr val="CCFF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Неприбуття захисника</c:v>
                </c:pt>
              </c:strCache>
            </c:strRef>
          </c:tx>
          <c:spPr>
            <a:solidFill>
              <a:srgbClr val="6600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Неприбуття свідків, потерпілих</c:v>
                </c:pt>
              </c:strCache>
            </c:strRef>
          </c:tx>
          <c:spPr>
            <a:solidFill>
              <a:srgbClr val="FF8080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41</c:v>
                </c:pt>
                <c:pt idx="1">
                  <c:v>24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Інші підстави</c:v>
                </c:pt>
              </c:strCache>
            </c:strRef>
          </c:tx>
          <c:spPr>
            <a:solidFill>
              <a:srgbClr val="0066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260</c:v>
                </c:pt>
                <c:pt idx="1">
                  <c:v>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32352"/>
        <c:axId val="41734144"/>
      </c:barChart>
      <c:catAx>
        <c:axId val="41732352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173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34144"/>
        <c:scaling>
          <c:orientation val="minMax"/>
        </c:scaling>
        <c:delete val="0"/>
        <c:axPos val="b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1732352"/>
        <c:crosses val="autoZero"/>
        <c:crossBetween val="between"/>
      </c:valAx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72312703583058"/>
          <c:y val="0.1640625"/>
          <c:w val="0.33876221498371334"/>
          <c:h val="0.5234375"/>
        </c:manualLayout>
      </c:layout>
      <c:overlay val="0"/>
      <c:spPr>
        <a:noFill/>
        <a:ln w="23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41516245487361E-2"/>
          <c:y val="5.3254437869822487E-2"/>
          <c:w val="0.6028880866425993"/>
          <c:h val="0.74556213017751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Відмовлено у відкритті провадження (0)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Повернуто (5)</c:v>
                </c:pt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Задоволено позов (34)</c:v>
                </c:pt>
              </c:strCache>
            </c:strRef>
          </c:tx>
          <c:spPr>
            <a:solidFill>
              <a:srgbClr val="FFFFCC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Відмовлено в задоволенн позову (6)</c:v>
                </c:pt>
              </c:strCache>
            </c:strRef>
          </c:tx>
          <c:spPr>
            <a:solidFill>
              <a:srgbClr val="CCFF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Залишено без розгляду (3)</c:v>
                </c:pt>
              </c:strCache>
            </c:strRef>
          </c:tx>
          <c:spPr>
            <a:solidFill>
              <a:srgbClr val="6600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6062720"/>
        <c:axId val="76064256"/>
        <c:axId val="0"/>
      </c:bar3DChart>
      <c:catAx>
        <c:axId val="7606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6064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064256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6062720"/>
        <c:crosses val="autoZero"/>
        <c:crossBetween val="between"/>
      </c:valAx>
      <c:spPr>
        <a:noFill/>
        <a:ln w="19053">
          <a:noFill/>
        </a:ln>
      </c:spPr>
    </c:plotArea>
    <c:legend>
      <c:legendPos val="r"/>
      <c:layout>
        <c:manualLayout>
          <c:xMode val="edge"/>
          <c:yMode val="edge"/>
          <c:x val="0.6732851985559567"/>
          <c:y val="5.9171597633136093E-3"/>
          <c:w val="0.31949458483754511"/>
          <c:h val="0.9822485207100591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46737213403876E-2"/>
          <c:y val="4.9450549450549448E-2"/>
          <c:w val="0.59082892416225752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930</c:v>
                </c:pt>
                <c:pt idx="1">
                  <c:v>1056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в порядку виконання постанов у справах про адміністративні правопорушення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196864"/>
        <c:axId val="76202752"/>
        <c:axId val="0"/>
      </c:bar3DChart>
      <c:catAx>
        <c:axId val="761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620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202752"/>
        <c:scaling>
          <c:orientation val="minMax"/>
        </c:scaling>
        <c:delete val="0"/>
        <c:axPos val="l"/>
        <c:majorGridlines>
          <c:spPr>
            <a:ln w="23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6196864"/>
        <c:crosses val="autoZero"/>
        <c:crossBetween val="between"/>
      </c:valAx>
      <c:spPr>
        <a:noFill/>
        <a:ln w="19043">
          <a:noFill/>
        </a:ln>
      </c:spPr>
    </c:plotArea>
    <c:legend>
      <c:legendPos val="r"/>
      <c:layout>
        <c:manualLayout>
          <c:xMode val="edge"/>
          <c:yMode val="edge"/>
          <c:x val="0.6807760141093474"/>
          <c:y val="0.24175824175824176"/>
          <c:w val="0.31216931216931215"/>
          <c:h val="0.52197802197802201"/>
        </c:manualLayout>
      </c:layout>
      <c:overlay val="0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6E1-4268-4DD5-9853-89564867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9605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Збаражська</dc:creator>
  <cp:lastModifiedBy>555</cp:lastModifiedBy>
  <cp:revision>2</cp:revision>
  <dcterms:created xsi:type="dcterms:W3CDTF">2019-07-31T11:47:00Z</dcterms:created>
  <dcterms:modified xsi:type="dcterms:W3CDTF">2019-07-31T11:47:00Z</dcterms:modified>
</cp:coreProperties>
</file>