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F8C" w:rsidRPr="00D531DE" w:rsidRDefault="00E33F8C" w:rsidP="00E33F8C">
      <w:pPr>
        <w:jc w:val="both"/>
        <w:rPr>
          <w:rFonts w:ascii="Roboto Condensed Light" w:hAnsi="Roboto Condensed Light"/>
          <w:sz w:val="28"/>
          <w:szCs w:val="28"/>
        </w:rPr>
      </w:pPr>
      <w:r w:rsidRPr="00D531DE">
        <w:rPr>
          <w:rFonts w:ascii="Roboto Condensed Light" w:hAnsi="Roboto Condensed Light"/>
          <w:sz w:val="28"/>
          <w:szCs w:val="28"/>
        </w:rPr>
        <w:t>Верховний Суд – найвищий суд у системі судоустрою України, який забезпечує сталість та єдність судової практики у порядку та спосіб, визначені процесуальним законом.</w:t>
      </w:r>
    </w:p>
    <w:p w:rsidR="00E33F8C" w:rsidRPr="00D531DE" w:rsidRDefault="00E33F8C" w:rsidP="00E33F8C">
      <w:pPr>
        <w:jc w:val="both"/>
        <w:rPr>
          <w:rFonts w:ascii="Roboto Condensed Light" w:hAnsi="Roboto Condensed Light"/>
          <w:sz w:val="28"/>
          <w:szCs w:val="28"/>
        </w:rPr>
      </w:pPr>
      <w:r w:rsidRPr="00D531DE">
        <w:rPr>
          <w:rFonts w:ascii="Roboto Condensed Light" w:hAnsi="Roboto Condensed Light"/>
          <w:sz w:val="28"/>
          <w:szCs w:val="28"/>
        </w:rPr>
        <w:t>Діяльність Верховного Суду забезпечується системою процесуальних, організаційно-розпорядчих та інших документів, отриманих або створених Судом, що становлять його документообіг.</w:t>
      </w:r>
    </w:p>
    <w:p w:rsidR="00E33F8C" w:rsidRPr="00D531DE" w:rsidRDefault="00E33F8C" w:rsidP="00E33F8C">
      <w:pPr>
        <w:jc w:val="both"/>
        <w:rPr>
          <w:rFonts w:ascii="Roboto Condensed Light" w:hAnsi="Roboto Condensed Light"/>
          <w:sz w:val="28"/>
          <w:szCs w:val="28"/>
        </w:rPr>
      </w:pPr>
      <w:r w:rsidRPr="00D531DE">
        <w:rPr>
          <w:rFonts w:ascii="Roboto Condensed Light" w:hAnsi="Roboto Condensed Light"/>
          <w:sz w:val="28"/>
          <w:szCs w:val="28"/>
        </w:rPr>
        <w:t>Реєстрація вхідної, вихідної кореспонденції, а також актів організаційно-розпорядчого характеру, що утворилися в процесі управлінської діяльності, ведеться централізовано за допомогою Автоматизованої системи документообігу Суду, згідно із затвердженою Зведеною номенклатурою справ Верховного Суду.</w:t>
      </w:r>
    </w:p>
    <w:p w:rsidR="00E33F8C" w:rsidRPr="00D531DE" w:rsidRDefault="00E33F8C" w:rsidP="00E33F8C">
      <w:pPr>
        <w:jc w:val="both"/>
        <w:rPr>
          <w:rFonts w:ascii="Roboto Condensed Light" w:hAnsi="Roboto Condensed Light"/>
          <w:sz w:val="28"/>
          <w:szCs w:val="28"/>
        </w:rPr>
      </w:pPr>
      <w:r w:rsidRPr="00D531DE">
        <w:rPr>
          <w:rFonts w:ascii="Roboto Condensed Light" w:hAnsi="Roboto Condensed Light"/>
          <w:sz w:val="28"/>
          <w:szCs w:val="28"/>
        </w:rPr>
        <w:t>Інформація, яка зберігається Верховним Судом є відкритою, крім тієї що віднесена законом до інформації з обмеженим доступом.</w:t>
      </w:r>
    </w:p>
    <w:p w:rsidR="00E33F8C" w:rsidRPr="00D531DE" w:rsidRDefault="00E33F8C" w:rsidP="00E33F8C">
      <w:pPr>
        <w:jc w:val="both"/>
        <w:rPr>
          <w:rFonts w:ascii="Roboto Condensed Light" w:hAnsi="Roboto Condensed Light"/>
          <w:sz w:val="28"/>
          <w:szCs w:val="28"/>
        </w:rPr>
      </w:pPr>
      <w:r w:rsidRPr="00D531DE">
        <w:rPr>
          <w:rFonts w:ascii="Roboto Condensed Light" w:hAnsi="Roboto Condensed Light"/>
          <w:sz w:val="28"/>
          <w:szCs w:val="28"/>
        </w:rPr>
        <w:t xml:space="preserve">Відповідно до Закону України «Про доступ до публічної інформації» публічна інформація у формі відкритих даних (відкриті дані) оприлюднюється для вільного та безоплатного доступу до неї. Відкриті дані дозволені для їх подальшого вільного використання та поширення. </w:t>
      </w:r>
    </w:p>
    <w:p w:rsidR="00E33F8C" w:rsidRPr="00D531DE" w:rsidRDefault="00E33F8C" w:rsidP="00E33F8C">
      <w:pPr>
        <w:jc w:val="both"/>
        <w:rPr>
          <w:rFonts w:ascii="Roboto Condensed Light" w:hAnsi="Roboto Condensed Light"/>
          <w:sz w:val="28"/>
          <w:szCs w:val="28"/>
        </w:rPr>
      </w:pPr>
      <w:r w:rsidRPr="00D531DE">
        <w:rPr>
          <w:rFonts w:ascii="Roboto Condensed Light" w:hAnsi="Roboto Condensed Light"/>
          <w:sz w:val="28"/>
          <w:szCs w:val="28"/>
        </w:rPr>
        <w:t>Будь-яка особа може вільно копіювати, публікувати, поширювати, використовувати, зокрема в комерційних цілях, у поєднанні з іншою інформацією або шляхом включення до складу власного продукту відкриті дані з обов’язковим посиланням на джерело їх отримання.</w:t>
      </w:r>
    </w:p>
    <w:p w:rsidR="00E33F8C" w:rsidRPr="00D531DE" w:rsidRDefault="00E33F8C" w:rsidP="00E33F8C">
      <w:pPr>
        <w:jc w:val="both"/>
        <w:rPr>
          <w:rFonts w:ascii="Roboto Condensed Light" w:hAnsi="Roboto Condensed Light"/>
          <w:sz w:val="28"/>
          <w:szCs w:val="28"/>
        </w:rPr>
      </w:pPr>
      <w:r w:rsidRPr="00D531DE">
        <w:rPr>
          <w:rFonts w:ascii="Roboto Condensed Light" w:hAnsi="Roboto Condensed Light"/>
          <w:sz w:val="28"/>
          <w:szCs w:val="28"/>
        </w:rPr>
        <w:t>Умовою будь-якого подальшого використання відкритих даних є обов’язкове посилання на джерело їх отримання (у тому числі гіперпосилання на веб-сторінку відкритих даних розпорядника інформації).</w:t>
      </w:r>
    </w:p>
    <w:p w:rsidR="00E33F8C" w:rsidRPr="00D531DE" w:rsidRDefault="00E33F8C" w:rsidP="00E33F8C">
      <w:pPr>
        <w:jc w:val="both"/>
        <w:rPr>
          <w:rFonts w:ascii="Roboto Condensed Light" w:hAnsi="Roboto Condensed Light"/>
          <w:sz w:val="28"/>
          <w:szCs w:val="28"/>
        </w:rPr>
      </w:pPr>
      <w:r w:rsidRPr="00D531DE">
        <w:rPr>
          <w:rFonts w:ascii="Roboto Condensed Light" w:hAnsi="Roboto Condensed Light"/>
          <w:sz w:val="28"/>
          <w:szCs w:val="28"/>
        </w:rPr>
        <w:t xml:space="preserve">Інформацією з обмеженим доступом є конфіденційна інформація, таємна інформація, службова інформація. </w:t>
      </w:r>
    </w:p>
    <w:p w:rsidR="00792628" w:rsidRDefault="00792628">
      <w:bookmarkStart w:id="0" w:name="_GoBack"/>
      <w:bookmarkEnd w:id="0"/>
    </w:p>
    <w:sectPr w:rsidR="0079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Condensed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8C"/>
    <w:rsid w:val="00792628"/>
    <w:rsid w:val="00E3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E7638-288F-4730-982C-207D5889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3F8C"/>
    <w:pPr>
      <w:spacing w:after="200" w:line="276" w:lineRule="auto"/>
    </w:pPr>
    <w:rPr>
      <w:rFonts w:eastAsia="MS Mincho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Галина Михайлівна</dc:creator>
  <cp:keywords/>
  <dc:description/>
  <cp:lastModifiedBy>БЕЗСМЕРТНА Галина Михайлівна</cp:lastModifiedBy>
  <cp:revision>1</cp:revision>
  <dcterms:created xsi:type="dcterms:W3CDTF">2019-08-13T07:00:00Z</dcterms:created>
  <dcterms:modified xsi:type="dcterms:W3CDTF">2019-08-13T07:01:00Z</dcterms:modified>
</cp:coreProperties>
</file>