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5" w:rsidRPr="008A7DD6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914">
        <w:rPr>
          <w:rFonts w:ascii="Times New Roman" w:hAnsi="Times New Roman" w:cs="Times New Roman"/>
          <w:sz w:val="24"/>
          <w:szCs w:val="24"/>
        </w:rPr>
        <w:t xml:space="preserve">  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ЗАТВЕРДЖЕНО</w:t>
      </w:r>
    </w:p>
    <w:p w:rsidR="005524A5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Наказом керівника апарату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ердичів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суду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Житомирської області</w:t>
      </w:r>
    </w:p>
    <w:p w:rsidR="005524A5" w:rsidRPr="008A7DD6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</w:p>
    <w:p w:rsidR="005524A5" w:rsidRPr="008A7DD6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проведення конкурсу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зайняття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однієї 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вакантної посади державної служби категорії «В» - судового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розпорядника 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ердичівсь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міськ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районного суду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Житомир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ської області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077"/>
        <w:gridCol w:w="6818"/>
      </w:tblGrid>
      <w:tr w:rsidR="005524A5" w:rsidRPr="008A7DD6" w:rsidTr="00882BB8"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524A5" w:rsidRPr="0095461E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525254843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Здійснює перевірку та забезпечує готовність 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судового засідання чи приміщення, в якому планується проведення виїзного судового засідання, до слухання справи і доповідає про їх готовність головуючому.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Забезпечує безпечні умови роботи суддям та працівникам апарату суду в залі судового засідання, іншому приміщенні, в разі проведення виїзного засідання.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З`ясовує своєчасність направлення заявки-наряду на доставку до суду органами внутрішніх справ та конвойною службою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іції затриманих осіб, та таких, які перебувають під вартою. Повідомляє голову суду, головуючого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справі 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можливу затримку їх доставки.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 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Забезпечує виконання учасниками судового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розгляду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особами, які є в залі судового засідання, розпоряджень головуючого.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Запрошує за розпорядженням головуючого до 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судового засідання свідків, експертів, перекладачів та інших учасників процесу.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Виконує розпорядження головуючого про приведення до присяги перекладача, експерта відповідно до законодавства.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Запрошує до 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судового засідання свідків та виконує вказівки головуючого щодо приведення їх до присяги.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Вживає заходів щодо видалення за розпорядженням головуючого із 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судового засідання осіб, які проявляють неповагу до суду або порушують громадський порядок.</w:t>
            </w:r>
          </w:p>
          <w:p w:rsidR="005524A5" w:rsidRPr="00851744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які проявляють неповагу до суду та порушують громадський порядок.</w:t>
            </w:r>
          </w:p>
          <w:p w:rsidR="005524A5" w:rsidRPr="008A7DD6" w:rsidRDefault="005524A5" w:rsidP="00882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</w:tc>
      </w:tr>
      <w:bookmarkEnd w:id="0"/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C29B2" w:rsidRDefault="005524A5" w:rsidP="00882BB8">
            <w:pPr>
              <w:shd w:val="clear" w:color="auto" w:fill="FFFFFF"/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посадовий оклад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4204</w:t>
            </w: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грн., </w:t>
            </w:r>
          </w:p>
          <w:p w:rsidR="005524A5" w:rsidRPr="008C29B2" w:rsidRDefault="005524A5" w:rsidP="00882BB8">
            <w:pPr>
              <w:shd w:val="clear" w:color="auto" w:fill="FFFFFF"/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надбавки та доплати відповідно до ст.ст.50, 52 Закону України «Про державну службу»;</w:t>
            </w:r>
          </w:p>
          <w:p w:rsidR="005524A5" w:rsidRPr="008C29B2" w:rsidRDefault="005524A5" w:rsidP="00882BB8">
            <w:pPr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надбавка до посадового окладу за ранг відповідно до Постанови Кабінету Міністрів України від 18.01.2017 №15 </w:t>
            </w: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C2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Питання оплати праці працівників державних органів»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(від 200 до 500 грн.)</w:t>
            </w:r>
            <w:r w:rsidRPr="008C2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524A5" w:rsidRPr="008C29B2" w:rsidRDefault="005524A5" w:rsidP="00882BB8">
            <w:pPr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надбавка до посадового окладу за вислугу років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відповідно до ст. 46 Закону України «Про державну службу» - 3 відсотки посадового окладу за кожен рік державної служби, але не більше 50 відсотків посадового окладу.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Безстроков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744DBE">
              <w:rPr>
                <w:color w:val="000000"/>
                <w:lang w:val="uk-UA"/>
              </w:rPr>
              <w:t>1) заяв</w:t>
            </w:r>
            <w:r>
              <w:rPr>
                <w:color w:val="000000"/>
                <w:lang w:val="uk-UA"/>
              </w:rPr>
              <w:t>а</w:t>
            </w:r>
            <w:r w:rsidRPr="00744DBE">
              <w:rPr>
                <w:color w:val="000000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744D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r w:rsidRPr="00744DBE">
              <w:rPr>
                <w:color w:val="000000"/>
                <w:lang w:val="uk-UA"/>
              </w:rPr>
              <w:t xml:space="preserve"> </w:t>
            </w:r>
            <w:r w:rsidRPr="00744DBE">
              <w:rPr>
                <w:rStyle w:val="rvts18"/>
                <w:color w:val="000000"/>
                <w:lang w:val="uk-UA"/>
              </w:rPr>
              <w:t>Порядку проведення конкурсу на зайняття посад державної служби, затверджено</w:t>
            </w:r>
            <w:r w:rsidRPr="00744DBE">
              <w:rPr>
                <w:rStyle w:val="rvts18"/>
                <w:lang w:val="uk-UA"/>
              </w:rPr>
              <w:t>го</w:t>
            </w:r>
            <w:r w:rsidRPr="00744DBE">
              <w:rPr>
                <w:rStyle w:val="rvts18"/>
                <w:color w:val="000000"/>
                <w:lang w:val="uk-UA"/>
              </w:rPr>
              <w:t xml:space="preserve"> постановою К</w:t>
            </w:r>
            <w:r w:rsidRPr="00744DBE">
              <w:rPr>
                <w:rStyle w:val="rvts18"/>
                <w:lang w:val="uk-UA"/>
              </w:rPr>
              <w:t xml:space="preserve">МУ </w:t>
            </w:r>
            <w:r w:rsidRPr="00744DBE">
              <w:rPr>
                <w:rStyle w:val="rvts18"/>
                <w:color w:val="000000"/>
                <w:lang w:val="uk-UA"/>
              </w:rPr>
              <w:t>України від 25 березня 2016 року № 246 в редакції постанови К</w:t>
            </w:r>
            <w:r w:rsidRPr="00744DBE">
              <w:rPr>
                <w:rStyle w:val="rvts18"/>
                <w:lang w:val="uk-UA"/>
              </w:rPr>
              <w:t xml:space="preserve">МУ </w:t>
            </w:r>
            <w:r w:rsidRPr="00744DBE">
              <w:rPr>
                <w:rStyle w:val="rvts18"/>
                <w:color w:val="000000"/>
                <w:lang w:val="uk-UA"/>
              </w:rPr>
              <w:t>від 18.08.2017 року № 648 зі змінами</w:t>
            </w:r>
            <w:r w:rsidRPr="00744DBE">
              <w:rPr>
                <w:color w:val="000000"/>
                <w:lang w:val="uk-UA"/>
              </w:rPr>
              <w:t>;</w:t>
            </w:r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" w:name="n1171"/>
            <w:bookmarkEnd w:id="1"/>
            <w:r w:rsidRPr="00744DBE">
              <w:rPr>
                <w:color w:val="000000"/>
                <w:lang w:val="uk-UA"/>
              </w:rPr>
              <w:t>2) резюме за формою згідно з </w:t>
            </w:r>
            <w:hyperlink r:id="rId6" w:anchor="n1039" w:history="1">
              <w:r w:rsidRPr="00744D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hyperlink r:id="rId7" w:anchor="n1039" w:history="1">
              <w:r w:rsidRPr="00744DBE">
                <w:rPr>
                  <w:rStyle w:val="a3"/>
                  <w:b/>
                  <w:bCs/>
                  <w:color w:val="006600"/>
                  <w:vertAlign w:val="superscript"/>
                  <w:lang w:val="uk-UA"/>
                </w:rPr>
                <w:t>-1</w:t>
              </w:r>
            </w:hyperlink>
            <w:r>
              <w:rPr>
                <w:color w:val="000000"/>
                <w:lang w:val="uk-UA"/>
              </w:rPr>
              <w:t xml:space="preserve"> Порядку</w:t>
            </w:r>
            <w:r w:rsidRPr="00744DBE">
              <w:rPr>
                <w:color w:val="000000"/>
                <w:lang w:val="uk-UA"/>
              </w:rPr>
              <w:t>, в якому обов’язково зазначається така інформація:</w:t>
            </w:r>
            <w:bookmarkStart w:id="2" w:name="n1172"/>
            <w:bookmarkEnd w:id="2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прізвище, ім’я, по батькові кандидата;</w:t>
            </w:r>
            <w:bookmarkStart w:id="3" w:name="n1173"/>
            <w:bookmarkEnd w:id="3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  <w:bookmarkStart w:id="4" w:name="n1174"/>
            <w:bookmarkEnd w:id="4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175"/>
            <w:bookmarkEnd w:id="5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6" w:name="n1176"/>
            <w:bookmarkEnd w:id="6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524A5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7" w:name="n1177"/>
            <w:bookmarkEnd w:id="7"/>
            <w:r w:rsidRPr="00744DBE">
              <w:rPr>
                <w:color w:val="000000"/>
                <w:lang w:val="uk-UA"/>
              </w:rPr>
              <w:t>3) заяв</w:t>
            </w:r>
            <w:r>
              <w:rPr>
                <w:color w:val="000000"/>
                <w:lang w:val="uk-UA"/>
              </w:rPr>
              <w:t>а</w:t>
            </w:r>
            <w:r w:rsidRPr="00744DBE">
              <w:rPr>
                <w:color w:val="000000"/>
                <w:lang w:val="uk-UA"/>
              </w:rPr>
              <w:t xml:space="preserve">, в якій </w:t>
            </w:r>
            <w:r>
              <w:rPr>
                <w:color w:val="000000"/>
                <w:lang w:val="uk-UA"/>
              </w:rPr>
              <w:t xml:space="preserve">особа </w:t>
            </w:r>
            <w:r w:rsidRPr="00744DBE">
              <w:rPr>
                <w:color w:val="000000"/>
                <w:lang w:val="uk-UA"/>
              </w:rPr>
              <w:t>повідомляє, що до неї не застосовуються заборони, визначені ч</w:t>
            </w:r>
            <w:r>
              <w:rPr>
                <w:color w:val="000000"/>
                <w:lang w:val="uk-UA"/>
              </w:rPr>
              <w:t>.</w:t>
            </w:r>
            <w:r w:rsidRPr="00744DBE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3 а</w:t>
            </w:r>
            <w:r w:rsidRPr="00744DBE">
              <w:rPr>
                <w:color w:val="000000"/>
                <w:lang w:val="uk-UA"/>
              </w:rPr>
              <w:t>бо </w:t>
            </w:r>
            <w:r>
              <w:rPr>
                <w:color w:val="000000"/>
                <w:lang w:val="uk-UA"/>
              </w:rPr>
              <w:t xml:space="preserve">4 </w:t>
            </w:r>
            <w:r w:rsidRPr="00F96680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.</w:t>
            </w:r>
            <w:r w:rsidRPr="00F96680">
              <w:rPr>
                <w:color w:val="000000"/>
                <w:lang w:val="uk-UA"/>
              </w:rPr>
              <w:t xml:space="preserve"> 1 Закону України </w:t>
            </w:r>
            <w:r>
              <w:rPr>
                <w:color w:val="000000"/>
                <w:lang w:val="uk-UA"/>
              </w:rPr>
              <w:t>«</w:t>
            </w:r>
            <w:r w:rsidRPr="00F96680">
              <w:rPr>
                <w:color w:val="000000"/>
                <w:lang w:val="uk-UA"/>
              </w:rPr>
              <w:t>Про очищення влади</w:t>
            </w:r>
            <w:r>
              <w:rPr>
                <w:color w:val="000000"/>
                <w:lang w:val="uk-UA"/>
              </w:rPr>
              <w:t>»</w:t>
            </w:r>
            <w:r w:rsidRPr="00F96680">
              <w:rPr>
                <w:color w:val="000000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 (заява з додатками відповідно до </w:t>
            </w:r>
            <w:r w:rsidRPr="00F96680">
              <w:rPr>
                <w:shd w:val="clear" w:color="auto" w:fill="FFFFFF"/>
                <w:lang w:val="uk-UA"/>
              </w:rPr>
              <w:t>Порядку проведення перевірки достовірності відомостей щодо застосування заборон, передбачених ч</w:t>
            </w:r>
            <w:r>
              <w:rPr>
                <w:shd w:val="clear" w:color="auto" w:fill="FFFFFF"/>
                <w:lang w:val="uk-UA"/>
              </w:rPr>
              <w:t>.</w:t>
            </w:r>
            <w:r w:rsidRPr="00F96680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3</w:t>
            </w:r>
            <w:r w:rsidRPr="00F96680">
              <w:rPr>
                <w:shd w:val="clear" w:color="auto" w:fill="FFFFFF"/>
                <w:lang w:val="uk-UA"/>
              </w:rPr>
              <w:t xml:space="preserve"> і </w:t>
            </w:r>
            <w:r>
              <w:rPr>
                <w:shd w:val="clear" w:color="auto" w:fill="FFFFFF"/>
                <w:lang w:val="uk-UA"/>
              </w:rPr>
              <w:t>4</w:t>
            </w:r>
            <w:r w:rsidRPr="00F96680">
              <w:rPr>
                <w:shd w:val="clear" w:color="auto" w:fill="FFFFFF"/>
                <w:lang w:val="uk-UA"/>
              </w:rPr>
              <w:t xml:space="preserve"> ст</w:t>
            </w:r>
            <w:r>
              <w:rPr>
                <w:shd w:val="clear" w:color="auto" w:fill="FFFFFF"/>
                <w:lang w:val="uk-UA"/>
              </w:rPr>
              <w:t>.</w:t>
            </w:r>
            <w:r w:rsidRPr="00F96680">
              <w:rPr>
                <w:shd w:val="clear" w:color="auto" w:fill="FFFFFF"/>
                <w:lang w:val="uk-UA"/>
              </w:rPr>
              <w:t xml:space="preserve"> 1 Закону України </w:t>
            </w:r>
            <w:proofErr w:type="spellStart"/>
            <w:r w:rsidRPr="00F96680">
              <w:rPr>
                <w:shd w:val="clear" w:color="auto" w:fill="FFFFFF"/>
                <w:lang w:val="uk-UA"/>
              </w:rPr>
              <w:t>“Про</w:t>
            </w:r>
            <w:proofErr w:type="spellEnd"/>
            <w:r w:rsidRPr="00F96680">
              <w:rPr>
                <w:shd w:val="clear" w:color="auto" w:fill="FFFFFF"/>
                <w:lang w:val="uk-UA"/>
              </w:rPr>
              <w:t xml:space="preserve"> очищення </w:t>
            </w:r>
            <w:proofErr w:type="spellStart"/>
            <w:r w:rsidRPr="00F96680">
              <w:rPr>
                <w:shd w:val="clear" w:color="auto" w:fill="FFFFFF"/>
                <w:lang w:val="uk-UA"/>
              </w:rPr>
              <w:t>влади”</w:t>
            </w:r>
            <w:proofErr w:type="spellEnd"/>
            <w:r w:rsidRPr="00F96680">
              <w:rPr>
                <w:shd w:val="clear" w:color="auto" w:fill="FFFFFF"/>
                <w:lang w:val="uk-UA"/>
              </w:rPr>
              <w:t xml:space="preserve"> (додаток 1 до Порядку)</w:t>
            </w:r>
            <w:r w:rsidRPr="00F96680">
              <w:rPr>
                <w:color w:val="000000"/>
                <w:shd w:val="clear" w:color="auto" w:fill="FFFFFF"/>
                <w:lang w:val="uk-UA"/>
              </w:rPr>
              <w:t xml:space="preserve">; </w:t>
            </w:r>
            <w:r w:rsidRPr="00F96680">
              <w:rPr>
                <w:lang w:val="uk-UA"/>
              </w:rPr>
              <w:br/>
            </w:r>
            <w:bookmarkStart w:id="8" w:name="n1178"/>
            <w:bookmarkStart w:id="9" w:name="n1179"/>
            <w:bookmarkStart w:id="10" w:name="n1180"/>
            <w:bookmarkStart w:id="11" w:name="n1181"/>
            <w:bookmarkEnd w:id="8"/>
            <w:bookmarkEnd w:id="9"/>
            <w:bookmarkEnd w:id="10"/>
            <w:bookmarkEnd w:id="11"/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744DBE">
              <w:rPr>
                <w:color w:val="000000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44DBE">
              <w:rPr>
                <w:color w:val="000000"/>
                <w:lang w:val="uk-UA"/>
              </w:rPr>
              <w:t>компетентностей</w:t>
            </w:r>
            <w:proofErr w:type="spellEnd"/>
            <w:r w:rsidRPr="00744DBE">
              <w:rPr>
                <w:color w:val="000000"/>
                <w:lang w:val="uk-UA"/>
              </w:rPr>
              <w:t>, репутації (характеристики, рекомендації, наукові публікації тощо).</w:t>
            </w:r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2" w:name="n1182"/>
            <w:bookmarkEnd w:id="12"/>
            <w:r w:rsidRPr="00744DBE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3" w:name="n1183"/>
            <w:bookmarkEnd w:id="13"/>
            <w:r w:rsidRPr="00744DBE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524A5" w:rsidRPr="00744DBE" w:rsidRDefault="005524A5" w:rsidP="00882B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4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лютого </w:t>
            </w:r>
            <w:r w:rsidRPr="00744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44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Додаткові (необов’язкові)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документи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Заява щодо забезпечення розумним пристосуванням за формою, згідно з додатком 3 до Порядку проведення конкурсу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зайняття посад державної служби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ісце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д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початку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F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 березня 2020 року о 10 годині 00 хвилин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приміщенні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ердичів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ського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міськ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районного суду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Житомирської області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адресою: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133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00,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Бердичів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Житомирська, 30А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Пасічник Любов Миколаївна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4143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inbox@b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zt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.court.gov.ua </w:t>
              </w:r>
            </w:hyperlink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4A5" w:rsidRPr="008A7DD6" w:rsidTr="00882BB8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OLE_LINK30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Наявність вищої освіти не нижче ступеня молодшого бакалавра або бакалавра в галузях знань «Право»</w:t>
            </w:r>
            <w:bookmarkEnd w:id="14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5524A5" w:rsidRPr="008A7DD6" w:rsidTr="00882BB8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_Hlk525252973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Особистісні компетентності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7A4D5F" w:rsidRDefault="005524A5" w:rsidP="00882BB8">
            <w:pPr>
              <w:pStyle w:val="content"/>
              <w:spacing w:before="0" w:beforeAutospacing="0" w:after="120" w:afterAutospacing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6" w:name="OLE_LINK14"/>
            <w:bookmarkStart w:id="17" w:name="OLE_LINK15"/>
            <w:r w:rsidRPr="007A4D5F">
              <w:rPr>
                <w:rFonts w:ascii="Times New Roman" w:hAnsi="Times New Roman"/>
                <w:sz w:val="24"/>
                <w:szCs w:val="24"/>
              </w:rPr>
              <w:t xml:space="preserve">комунікабельність, дисциплінованість, емоційна стабільність, ініціативність, відповідальність, неупередженість, 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організація на саморозвиток</w:t>
            </w:r>
            <w:r w:rsidRPr="007A4D5F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16"/>
          <w:bookmarkEnd w:id="17"/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_Hlk525252999"/>
            <w:bookmarkEnd w:id="15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Ділові компетентності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OLE_LINK13"/>
            <w:r w:rsidRPr="008A7DD6">
              <w:rPr>
                <w:rFonts w:ascii="Times New Roman" w:hAnsi="Times New Roman"/>
                <w:sz w:val="24"/>
                <w:szCs w:val="24"/>
              </w:rPr>
              <w:t xml:space="preserve">вміння розподіляти роботу, оперативність, організаторські здібності, здатність концентруватись на деталях, сприйняття змін, </w:t>
            </w:r>
            <w:proofErr w:type="spellStart"/>
            <w:r w:rsidRPr="008A7DD6">
              <w:rPr>
                <w:rFonts w:ascii="Times New Roman" w:hAnsi="Times New Roman"/>
                <w:sz w:val="24"/>
                <w:szCs w:val="24"/>
              </w:rPr>
              <w:t>стресостійкість</w:t>
            </w:r>
            <w:proofErr w:type="spellEnd"/>
            <w:r w:rsidRPr="008A7DD6">
              <w:rPr>
                <w:rFonts w:ascii="Times New Roman" w:hAnsi="Times New Roman"/>
                <w:sz w:val="24"/>
                <w:szCs w:val="24"/>
              </w:rPr>
              <w:t>, вміння визначати пріоритети, уміння працювати та взаємодіяти в команді,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організація на обслуговування.</w:t>
            </w:r>
            <w:bookmarkEnd w:id="19"/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rPr>
                <w:rFonts w:ascii="Times New Roman" w:hAnsi="Times New Roman"/>
                <w:sz w:val="24"/>
                <w:szCs w:val="24"/>
              </w:rPr>
            </w:pPr>
            <w:r w:rsidRPr="008A7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rPr>
                <w:rFonts w:ascii="Times New Roman" w:hAnsi="Times New Roman"/>
                <w:sz w:val="24"/>
                <w:szCs w:val="24"/>
              </w:rPr>
            </w:pPr>
            <w:r w:rsidRPr="008A7DD6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rPr>
                <w:rFonts w:ascii="Times New Roman" w:hAnsi="Times New Roman"/>
                <w:sz w:val="24"/>
                <w:szCs w:val="24"/>
              </w:rPr>
            </w:pPr>
            <w:r w:rsidRPr="008A7DD6">
              <w:rPr>
                <w:rFonts w:ascii="Times New Roman" w:hAnsi="Times New Roman"/>
                <w:sz w:val="24"/>
                <w:szCs w:val="24"/>
              </w:rPr>
              <w:t>Володіння комп’ютером – рівень досвідченого користувача; досвід роботи з офісним пакетом Windows, Microsoft Office (Word, Excel), навички роботи з інформаційно-пошуковими системами в мережі Інтернет.</w:t>
            </w:r>
          </w:p>
        </w:tc>
      </w:tr>
      <w:bookmarkEnd w:id="18"/>
      <w:tr w:rsidR="005524A5" w:rsidRPr="008A7DD6" w:rsidTr="00882BB8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DD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OLE_LINK24"/>
            <w:bookmarkStart w:id="21" w:name="OLE_LINK25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Конституція України;</w:t>
            </w:r>
          </w:p>
          <w:p w:rsidR="005524A5" w:rsidRPr="008A7DD6" w:rsidRDefault="005524A5" w:rsidP="00882B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5524A5" w:rsidRPr="008A7DD6" w:rsidRDefault="005524A5" w:rsidP="00882B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України «Про запобігання корупції». </w:t>
            </w:r>
            <w:bookmarkEnd w:id="20"/>
            <w:bookmarkEnd w:id="21"/>
          </w:p>
        </w:tc>
      </w:tr>
      <w:tr w:rsidR="005524A5" w:rsidRPr="00851744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 спеціального законодавства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OLE_LINK26"/>
            <w:bookmarkStart w:id="23" w:name="OLE_LINK27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Положення про автоматизовану систему документообігу суду, затвердженого Рішенням Ради суддів У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країни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від 2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.2010 ро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ку (у редакціях рішень Ради суддів України від 15.09.2016 року № 58, від 02.03.2018 року № 17 зі змінам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и);</w:t>
            </w:r>
          </w:p>
          <w:p w:rsidR="005524A5" w:rsidRPr="008A7DD6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місцевих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апеляційних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судах України, затверджен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Наказом Державної судової адміністрації України від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814 зі змінами, затвердженими наказом ДСА України від 24.12.2019 № 1196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24A5" w:rsidRPr="008A7DD6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засідання), затверджену Наказом Державної судової адміністрації України від 20.09.2012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108;</w:t>
            </w:r>
          </w:p>
          <w:p w:rsidR="005524A5" w:rsidRPr="00744DBE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Закони України «Про судоустрій і статус суддів»</w:t>
            </w:r>
            <w:bookmarkEnd w:id="22"/>
            <w:bookmarkEnd w:id="23"/>
            <w:r w:rsidRPr="00744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«Про звернення громадян»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«Про доступ до публічної інформації»</w:t>
            </w:r>
          </w:p>
          <w:p w:rsidR="005524A5" w:rsidRPr="008A7DD6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Цивільний кодекс України, Цивільний процесуальний кодекс України, Кодекс адміністративного судочинства України, Кримінальний кодекс України, Кримінальний процесуальний кодекс України, Кодекс України про адміністративні правопорушення. </w:t>
            </w:r>
          </w:p>
        </w:tc>
      </w:tr>
    </w:tbl>
    <w:p w:rsidR="005524A5" w:rsidRPr="008A7DD6" w:rsidRDefault="005524A5" w:rsidP="005524A5">
      <w:pPr>
        <w:rPr>
          <w:color w:val="000000"/>
          <w:sz w:val="24"/>
          <w:szCs w:val="24"/>
        </w:rPr>
      </w:pPr>
    </w:p>
    <w:p w:rsidR="005524A5" w:rsidRPr="001E1914" w:rsidRDefault="005524A5" w:rsidP="0055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24A5" w:rsidRPr="001E1914" w:rsidRDefault="005524A5" w:rsidP="0055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A5" w:rsidRPr="00182E53" w:rsidRDefault="005524A5" w:rsidP="0055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sectPr w:rsidR="005524A5" w:rsidSect="001E1914">
      <w:pgSz w:w="11906" w:h="16838" w:code="9"/>
      <w:pgMar w:top="709" w:right="567" w:bottom="709" w:left="1134" w:header="680" w:footer="6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113B0"/>
    <w:multiLevelType w:val="multilevel"/>
    <w:tmpl w:val="FC2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4A5"/>
    <w:rsid w:val="001331E1"/>
    <w:rsid w:val="0055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4A5"/>
    <w:rPr>
      <w:color w:val="0000FF"/>
      <w:u w:val="single"/>
    </w:rPr>
  </w:style>
  <w:style w:type="paragraph" w:customStyle="1" w:styleId="content">
    <w:name w:val="content"/>
    <w:basedOn w:val="a"/>
    <w:rsid w:val="005524A5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5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8">
    <w:name w:val="rvts18"/>
    <w:rsid w:val="0055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d.zt.court.gov.u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4938</Words>
  <Characters>2815</Characters>
  <Application>Microsoft Office Word</Application>
  <DocSecurity>0</DocSecurity>
  <Lines>23</Lines>
  <Paragraphs>15</Paragraphs>
  <ScaleCrop>false</ScaleCrop>
  <Company>Grizli777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2020-02-17T12:37:00Z</dcterms:created>
  <dcterms:modified xsi:type="dcterms:W3CDTF">2020-02-17T12:38:00Z</dcterms:modified>
</cp:coreProperties>
</file>