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98" w:rsidRPr="00EE5044" w:rsidRDefault="00741498" w:rsidP="00741498">
      <w:pPr>
        <w:spacing w:after="0" w:line="240" w:lineRule="auto"/>
        <w:jc w:val="center"/>
        <w:rPr>
          <w:rFonts w:ascii="Times New Roman" w:hAnsi="Times New Roman" w:cs="Times New Roman"/>
          <w:b/>
          <w:bCs/>
          <w:sz w:val="24"/>
          <w:szCs w:val="24"/>
          <w:lang w:val="uk-UA"/>
        </w:rPr>
      </w:pPr>
      <w:r w:rsidRPr="00EE5044">
        <w:rPr>
          <w:rFonts w:ascii="Times New Roman" w:hAnsi="Times New Roman" w:cs="Times New Roman"/>
          <w:b/>
          <w:bCs/>
          <w:sz w:val="24"/>
          <w:szCs w:val="24"/>
          <w:lang w:val="uk-UA"/>
        </w:rPr>
        <w:t>Огляд даних</w:t>
      </w:r>
    </w:p>
    <w:p w:rsidR="00741498" w:rsidRPr="00EE5044" w:rsidRDefault="00741498" w:rsidP="00741498">
      <w:pPr>
        <w:spacing w:after="0" w:line="240" w:lineRule="auto"/>
        <w:jc w:val="center"/>
        <w:rPr>
          <w:rFonts w:ascii="Times New Roman" w:hAnsi="Times New Roman" w:cs="Times New Roman"/>
          <w:b/>
          <w:bCs/>
          <w:sz w:val="24"/>
          <w:szCs w:val="24"/>
          <w:lang w:val="uk-UA"/>
        </w:rPr>
      </w:pPr>
      <w:r w:rsidRPr="00EE5044">
        <w:rPr>
          <w:rFonts w:ascii="Times New Roman" w:hAnsi="Times New Roman" w:cs="Times New Roman"/>
          <w:b/>
          <w:bCs/>
          <w:sz w:val="24"/>
          <w:szCs w:val="24"/>
          <w:lang w:val="uk-UA"/>
        </w:rPr>
        <w:t>про стан здійснення судочинства</w:t>
      </w:r>
    </w:p>
    <w:p w:rsidR="006218CA" w:rsidRPr="00EE5044" w:rsidRDefault="00741498" w:rsidP="00741498">
      <w:pPr>
        <w:spacing w:after="0" w:line="240" w:lineRule="auto"/>
        <w:jc w:val="center"/>
        <w:rPr>
          <w:rFonts w:ascii="Times New Roman" w:hAnsi="Times New Roman" w:cs="Times New Roman"/>
          <w:b/>
          <w:bCs/>
          <w:sz w:val="24"/>
          <w:szCs w:val="24"/>
          <w:lang w:val="uk-UA"/>
        </w:rPr>
      </w:pPr>
      <w:r w:rsidRPr="00EE5044">
        <w:rPr>
          <w:rFonts w:ascii="Times New Roman" w:hAnsi="Times New Roman" w:cs="Times New Roman"/>
          <w:b/>
          <w:bCs/>
          <w:sz w:val="24"/>
          <w:szCs w:val="24"/>
          <w:lang w:val="uk-UA"/>
        </w:rPr>
        <w:t>Запорізьким окружним адміністративним судом</w:t>
      </w:r>
    </w:p>
    <w:p w:rsidR="002212FA" w:rsidRPr="00EE5044" w:rsidRDefault="00A43C53" w:rsidP="006218CA">
      <w:pPr>
        <w:spacing w:after="0" w:line="240" w:lineRule="auto"/>
        <w:jc w:val="center"/>
        <w:rPr>
          <w:rFonts w:ascii="Times New Roman" w:hAnsi="Times New Roman" w:cs="Times New Roman"/>
          <w:b/>
          <w:bCs/>
          <w:sz w:val="24"/>
          <w:szCs w:val="24"/>
          <w:lang w:val="uk-UA"/>
        </w:rPr>
      </w:pPr>
      <w:r w:rsidRPr="00EE5044">
        <w:rPr>
          <w:rFonts w:ascii="Times New Roman" w:hAnsi="Times New Roman" w:cs="Times New Roman"/>
          <w:b/>
          <w:bCs/>
          <w:sz w:val="24"/>
          <w:szCs w:val="24"/>
          <w:lang w:val="uk-UA"/>
        </w:rPr>
        <w:t xml:space="preserve">у </w:t>
      </w:r>
      <w:r w:rsidR="00454B1E" w:rsidRPr="00EE5044">
        <w:rPr>
          <w:rFonts w:ascii="Times New Roman" w:hAnsi="Times New Roman" w:cs="Times New Roman"/>
          <w:b/>
          <w:bCs/>
          <w:sz w:val="24"/>
          <w:szCs w:val="24"/>
          <w:lang w:val="uk-UA"/>
        </w:rPr>
        <w:t xml:space="preserve">першому півріччі </w:t>
      </w:r>
      <w:r w:rsidR="002212FA" w:rsidRPr="00EE5044">
        <w:rPr>
          <w:rFonts w:ascii="Times New Roman" w:hAnsi="Times New Roman" w:cs="Times New Roman"/>
          <w:b/>
          <w:bCs/>
          <w:sz w:val="24"/>
          <w:szCs w:val="24"/>
          <w:lang w:val="uk-UA"/>
        </w:rPr>
        <w:t>201</w:t>
      </w:r>
      <w:r w:rsidR="00BB3471" w:rsidRPr="00EE5044">
        <w:rPr>
          <w:rFonts w:ascii="Times New Roman" w:hAnsi="Times New Roman" w:cs="Times New Roman"/>
          <w:b/>
          <w:bCs/>
          <w:sz w:val="24"/>
          <w:szCs w:val="24"/>
          <w:lang w:val="uk-UA"/>
        </w:rPr>
        <w:t>8</w:t>
      </w:r>
      <w:r w:rsidR="00454B1E" w:rsidRPr="00EE5044">
        <w:rPr>
          <w:rFonts w:ascii="Times New Roman" w:hAnsi="Times New Roman" w:cs="Times New Roman"/>
          <w:b/>
          <w:bCs/>
          <w:sz w:val="24"/>
          <w:szCs w:val="24"/>
          <w:lang w:val="uk-UA"/>
        </w:rPr>
        <w:t xml:space="preserve"> року</w:t>
      </w:r>
    </w:p>
    <w:p w:rsidR="002212FA" w:rsidRPr="00EE5044" w:rsidRDefault="002212FA" w:rsidP="004736CE">
      <w:pPr>
        <w:spacing w:after="0" w:line="240" w:lineRule="auto"/>
        <w:jc w:val="both"/>
        <w:rPr>
          <w:rFonts w:ascii="Times New Roman" w:hAnsi="Times New Roman" w:cs="Times New Roman"/>
          <w:b/>
          <w:bCs/>
          <w:sz w:val="24"/>
          <w:szCs w:val="24"/>
          <w:lang w:val="uk-UA"/>
        </w:rPr>
      </w:pPr>
    </w:p>
    <w:p w:rsidR="00164DF1" w:rsidRPr="00EE5044" w:rsidRDefault="00164DF1" w:rsidP="004736CE">
      <w:pPr>
        <w:spacing w:after="0" w:line="240" w:lineRule="auto"/>
        <w:jc w:val="both"/>
        <w:rPr>
          <w:rFonts w:ascii="Times New Roman" w:hAnsi="Times New Roman" w:cs="Times New Roman"/>
          <w:b/>
          <w:bCs/>
          <w:sz w:val="24"/>
          <w:szCs w:val="24"/>
          <w:lang w:val="uk-UA"/>
        </w:rPr>
      </w:pPr>
    </w:p>
    <w:p w:rsidR="00044238" w:rsidRPr="00EE5044" w:rsidRDefault="00044238" w:rsidP="00044238">
      <w:pPr>
        <w:pStyle w:val="ac"/>
        <w:spacing w:before="0" w:beforeAutospacing="0" w:after="0" w:afterAutospacing="0"/>
        <w:ind w:firstLine="708"/>
        <w:jc w:val="both"/>
        <w:rPr>
          <w:lang w:val="uk-UA"/>
        </w:rPr>
      </w:pPr>
      <w:r w:rsidRPr="00EE5044">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попередніх роках, надання оцінки якості та своєчасності розгляду адміністративних справ</w:t>
      </w:r>
      <w:r w:rsidR="00D8724A" w:rsidRPr="00EE5044">
        <w:rPr>
          <w:lang w:val="uk-UA"/>
        </w:rPr>
        <w:t>.</w:t>
      </w:r>
    </w:p>
    <w:p w:rsidR="002C57B5" w:rsidRPr="00EE5044" w:rsidRDefault="002C57B5" w:rsidP="002C57B5">
      <w:pPr>
        <w:pStyle w:val="ac"/>
        <w:spacing w:before="0" w:beforeAutospacing="0" w:after="0" w:afterAutospacing="0"/>
        <w:ind w:firstLine="708"/>
        <w:jc w:val="both"/>
        <w:rPr>
          <w:lang w:val="uk-UA"/>
        </w:rPr>
      </w:pPr>
      <w:r w:rsidRPr="00EE5044">
        <w:rPr>
          <w:lang w:val="uk-UA"/>
        </w:rPr>
        <w:t xml:space="preserve">Огляд даних здійснено на підставі офіційних статистичних даних звітів Запорізького окружного адміністративного за перше півріччя 2018 року, а саме: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 збору за перше півріччя 2018 року, Базових показників роботи суду, форма якого затверджена рішенням Ради суддів України №28 від 02 квітня 2015 року, звіту 1-оас «Звіт окружних адміністративних судів про розгляд судових справ». </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28 посад суддів.</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У першому півріччі 2018 року, кількість зайнятих посад суддів у звітному періоді становила 20, з них не мають повноваження по відправленню правосуддя 10 суддів. Розгляд адміністративних справ у суді фактично здійснювали 10 суддів. </w:t>
      </w:r>
    </w:p>
    <w:p w:rsidR="002C57B5" w:rsidRPr="00EE5044" w:rsidRDefault="002C57B5" w:rsidP="002C57B5">
      <w:pPr>
        <w:spacing w:after="0" w:line="240" w:lineRule="auto"/>
        <w:jc w:val="center"/>
        <w:rPr>
          <w:rFonts w:ascii="Times New Roman" w:hAnsi="Times New Roman"/>
          <w:b/>
          <w:sz w:val="24"/>
          <w:szCs w:val="24"/>
          <w:lang w:val="uk-UA"/>
        </w:rPr>
      </w:pPr>
    </w:p>
    <w:p w:rsidR="002C57B5" w:rsidRPr="00EE5044" w:rsidRDefault="002C57B5" w:rsidP="002C57B5">
      <w:pPr>
        <w:spacing w:after="0" w:line="480" w:lineRule="auto"/>
        <w:jc w:val="center"/>
        <w:rPr>
          <w:rFonts w:ascii="Times New Roman" w:hAnsi="Times New Roman"/>
          <w:b/>
          <w:sz w:val="24"/>
          <w:szCs w:val="24"/>
          <w:lang w:val="uk-UA"/>
        </w:rPr>
      </w:pPr>
      <w:r w:rsidRPr="00EE5044">
        <w:rPr>
          <w:rFonts w:ascii="Times New Roman" w:hAnsi="Times New Roman"/>
          <w:b/>
          <w:sz w:val="24"/>
          <w:szCs w:val="24"/>
          <w:lang w:val="uk-UA"/>
        </w:rPr>
        <w:t>Розгляд справ та матеріалів</w:t>
      </w:r>
    </w:p>
    <w:p w:rsidR="002C57B5" w:rsidRPr="00EE5044" w:rsidRDefault="002C57B5" w:rsidP="002C57B5">
      <w:pPr>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 xml:space="preserve">За даними статистичної звітності за перше півріччя 2018 року, у звітному періоді на розгляді Запорізького окружного адміністративного суду перебували </w:t>
      </w:r>
      <w:r w:rsidRPr="00EE5044">
        <w:rPr>
          <w:rFonts w:ascii="Times New Roman" w:hAnsi="Times New Roman"/>
          <w:b/>
          <w:sz w:val="24"/>
          <w:szCs w:val="24"/>
          <w:lang w:val="uk-UA"/>
        </w:rPr>
        <w:t>4495</w:t>
      </w:r>
      <w:r w:rsidRPr="00EE5044">
        <w:rPr>
          <w:rFonts w:ascii="Times New Roman" w:hAnsi="Times New Roman"/>
          <w:sz w:val="24"/>
          <w:szCs w:val="24"/>
          <w:lang w:val="uk-UA"/>
        </w:rPr>
        <w:t xml:space="preserve"> адміністративних справ та матеріалів, що </w:t>
      </w:r>
      <w:r w:rsidRPr="00EE5044">
        <w:rPr>
          <w:rFonts w:ascii="Times New Roman" w:hAnsi="Times New Roman"/>
          <w:b/>
          <w:sz w:val="24"/>
          <w:szCs w:val="24"/>
          <w:lang w:val="uk-UA"/>
        </w:rPr>
        <w:t>27,8%</w:t>
      </w:r>
      <w:r w:rsidRPr="00EE5044">
        <w:rPr>
          <w:rFonts w:ascii="Times New Roman" w:hAnsi="Times New Roman"/>
          <w:sz w:val="24"/>
          <w:szCs w:val="24"/>
          <w:lang w:val="uk-UA"/>
        </w:rPr>
        <w:t xml:space="preserve"> більше, ніж за аналогічний період 2017 року </w:t>
      </w:r>
      <w:r w:rsidRPr="00EE5044">
        <w:rPr>
          <w:rFonts w:ascii="Times New Roman" w:hAnsi="Times New Roman"/>
          <w:b/>
          <w:sz w:val="24"/>
          <w:szCs w:val="24"/>
          <w:lang w:val="uk-UA"/>
        </w:rPr>
        <w:t>(3516),</w:t>
      </w:r>
      <w:r w:rsidRPr="00EE5044">
        <w:rPr>
          <w:rFonts w:ascii="Times New Roman" w:hAnsi="Times New Roman"/>
          <w:sz w:val="24"/>
          <w:szCs w:val="24"/>
          <w:lang w:val="uk-UA"/>
        </w:rPr>
        <w:t xml:space="preserve"> з яких у звітному періоді надійшло </w:t>
      </w:r>
      <w:r w:rsidRPr="00EE5044">
        <w:rPr>
          <w:rFonts w:ascii="Times New Roman" w:hAnsi="Times New Roman"/>
          <w:b/>
          <w:sz w:val="24"/>
          <w:szCs w:val="24"/>
          <w:lang w:val="uk-UA"/>
        </w:rPr>
        <w:t>3220,</w:t>
      </w:r>
      <w:r w:rsidRPr="00EE5044">
        <w:rPr>
          <w:rFonts w:ascii="Times New Roman" w:hAnsi="Times New Roman"/>
          <w:sz w:val="24"/>
          <w:szCs w:val="24"/>
          <w:lang w:val="uk-UA"/>
        </w:rPr>
        <w:t xml:space="preserve"> що на </w:t>
      </w:r>
      <w:r w:rsidRPr="00EE5044">
        <w:rPr>
          <w:rFonts w:ascii="Times New Roman" w:hAnsi="Times New Roman"/>
          <w:b/>
          <w:sz w:val="24"/>
          <w:szCs w:val="24"/>
          <w:lang w:val="uk-UA"/>
        </w:rPr>
        <w:t>33,9%</w:t>
      </w:r>
      <w:r w:rsidRPr="00EE5044">
        <w:rPr>
          <w:rFonts w:ascii="Times New Roman" w:hAnsi="Times New Roman"/>
          <w:sz w:val="24"/>
          <w:szCs w:val="24"/>
          <w:lang w:val="uk-UA"/>
        </w:rPr>
        <w:t xml:space="preserve"> більше, ніж у першому півріччі 2017 року (</w:t>
      </w:r>
      <w:r w:rsidRPr="00EE5044">
        <w:rPr>
          <w:rFonts w:ascii="Times New Roman" w:hAnsi="Times New Roman"/>
          <w:b/>
          <w:sz w:val="24"/>
          <w:szCs w:val="24"/>
          <w:lang w:val="uk-UA"/>
        </w:rPr>
        <w:t>2403</w:t>
      </w:r>
      <w:r w:rsidRPr="00EE5044">
        <w:rPr>
          <w:rFonts w:ascii="Times New Roman" w:hAnsi="Times New Roman"/>
          <w:sz w:val="24"/>
          <w:szCs w:val="24"/>
          <w:lang w:val="uk-UA"/>
        </w:rPr>
        <w:t>), залишок не розглянутих справ та матеріалів на початок звітного періоду становив </w:t>
      </w:r>
      <w:r w:rsidRPr="00EE5044">
        <w:rPr>
          <w:rFonts w:ascii="Times New Roman" w:hAnsi="Times New Roman"/>
          <w:b/>
          <w:sz w:val="24"/>
          <w:szCs w:val="24"/>
          <w:lang w:val="uk-UA"/>
        </w:rPr>
        <w:t>1275</w:t>
      </w:r>
      <w:r w:rsidRPr="00EE5044">
        <w:rPr>
          <w:rFonts w:ascii="Times New Roman" w:hAnsi="Times New Roman"/>
          <w:sz w:val="24"/>
          <w:szCs w:val="24"/>
          <w:lang w:val="uk-UA"/>
        </w:rPr>
        <w:t>.</w:t>
      </w:r>
    </w:p>
    <w:p w:rsidR="002C57B5" w:rsidRPr="00EE5044" w:rsidRDefault="002C57B5" w:rsidP="002C57B5">
      <w:pPr>
        <w:shd w:val="clear" w:color="auto" w:fill="FFFFFF"/>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Розглянуто справ та матеріалів -</w:t>
      </w:r>
      <w:r w:rsidRPr="00EE5044">
        <w:rPr>
          <w:rFonts w:ascii="Times New Roman" w:hAnsi="Times New Roman"/>
          <w:b/>
          <w:sz w:val="24"/>
          <w:szCs w:val="24"/>
          <w:lang w:val="uk-UA"/>
        </w:rPr>
        <w:t xml:space="preserve"> 2961</w:t>
      </w:r>
      <w:r w:rsidRPr="00EE5044">
        <w:rPr>
          <w:rFonts w:ascii="Times New Roman" w:hAnsi="Times New Roman"/>
          <w:sz w:val="24"/>
          <w:szCs w:val="24"/>
          <w:lang w:val="uk-UA"/>
        </w:rPr>
        <w:t xml:space="preserve">, що на </w:t>
      </w:r>
      <w:r w:rsidRPr="00EE5044">
        <w:rPr>
          <w:rFonts w:ascii="Times New Roman" w:hAnsi="Times New Roman"/>
          <w:b/>
          <w:sz w:val="24"/>
          <w:szCs w:val="24"/>
          <w:lang w:val="uk-UA"/>
        </w:rPr>
        <w:t>17,8</w:t>
      </w:r>
      <w:r w:rsidRPr="00EE5044">
        <w:rPr>
          <w:rFonts w:ascii="Times New Roman" w:hAnsi="Times New Roman"/>
          <w:sz w:val="24"/>
          <w:szCs w:val="24"/>
          <w:lang w:val="uk-UA"/>
        </w:rPr>
        <w:t>% більше, ніж за аналогічний період 2017 року (</w:t>
      </w:r>
      <w:r w:rsidRPr="00EE5044">
        <w:rPr>
          <w:rFonts w:ascii="Times New Roman" w:hAnsi="Times New Roman"/>
          <w:b/>
          <w:sz w:val="24"/>
          <w:szCs w:val="24"/>
          <w:lang w:val="uk-UA"/>
        </w:rPr>
        <w:t>2513</w:t>
      </w:r>
      <w:r w:rsidRPr="00EE5044">
        <w:rPr>
          <w:rFonts w:ascii="Times New Roman" w:hAnsi="Times New Roman"/>
          <w:sz w:val="24"/>
          <w:szCs w:val="24"/>
          <w:lang w:val="uk-UA"/>
        </w:rPr>
        <w:t xml:space="preserve">), та становить </w:t>
      </w:r>
      <w:r w:rsidRPr="00EE5044">
        <w:rPr>
          <w:rFonts w:ascii="Times New Roman" w:hAnsi="Times New Roman"/>
          <w:b/>
          <w:sz w:val="24"/>
          <w:szCs w:val="24"/>
          <w:lang w:val="uk-UA"/>
        </w:rPr>
        <w:t>65,9%</w:t>
      </w:r>
      <w:r w:rsidRPr="00EE5044">
        <w:rPr>
          <w:rFonts w:ascii="Times New Roman" w:hAnsi="Times New Roman"/>
          <w:sz w:val="24"/>
          <w:szCs w:val="24"/>
          <w:lang w:val="uk-UA"/>
        </w:rPr>
        <w:t xml:space="preserve"> від загальної кількості справ та матеріалів, що перебували в провадженні суду. </w:t>
      </w:r>
    </w:p>
    <w:p w:rsidR="002C57B5" w:rsidRPr="00EE5044" w:rsidRDefault="002C57B5" w:rsidP="002C57B5">
      <w:pPr>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 xml:space="preserve">Залишок не розглянутих справ і матеріалів  на кінець звітного періоду становить </w:t>
      </w:r>
      <w:r w:rsidRPr="00EE5044">
        <w:rPr>
          <w:rFonts w:ascii="Times New Roman" w:hAnsi="Times New Roman"/>
          <w:b/>
          <w:sz w:val="24"/>
          <w:szCs w:val="24"/>
          <w:lang w:val="uk-UA"/>
        </w:rPr>
        <w:t>1531</w:t>
      </w:r>
      <w:r w:rsidRPr="00EE5044">
        <w:rPr>
          <w:rFonts w:ascii="Times New Roman" w:hAnsi="Times New Roman"/>
          <w:sz w:val="24"/>
          <w:szCs w:val="24"/>
          <w:lang w:val="uk-UA"/>
        </w:rPr>
        <w:t xml:space="preserve">, що становить </w:t>
      </w:r>
      <w:r w:rsidRPr="00EE5044">
        <w:rPr>
          <w:rFonts w:ascii="Times New Roman" w:hAnsi="Times New Roman"/>
          <w:b/>
          <w:sz w:val="24"/>
          <w:szCs w:val="24"/>
          <w:lang w:val="uk-UA"/>
        </w:rPr>
        <w:t>34,1%</w:t>
      </w:r>
      <w:r w:rsidRPr="00EE5044">
        <w:rPr>
          <w:rFonts w:ascii="Times New Roman" w:hAnsi="Times New Roman"/>
          <w:sz w:val="24"/>
          <w:szCs w:val="24"/>
          <w:lang w:val="uk-UA"/>
        </w:rPr>
        <w:t xml:space="preserve"> від загальної кількості справ та матеріалів, що перебували на розгляді у Запорізького окружного адміністративного суді. </w:t>
      </w:r>
    </w:p>
    <w:p w:rsidR="002C57B5" w:rsidRPr="00EE5044" w:rsidRDefault="002C57B5" w:rsidP="002C57B5">
      <w:pPr>
        <w:spacing w:after="0" w:line="240" w:lineRule="auto"/>
        <w:ind w:firstLine="720"/>
        <w:jc w:val="center"/>
        <w:rPr>
          <w:rFonts w:ascii="Times New Roman" w:hAnsi="Times New Roman"/>
          <w:b/>
          <w:sz w:val="24"/>
          <w:szCs w:val="24"/>
          <w:lang w:val="uk-UA"/>
        </w:rPr>
      </w:pPr>
    </w:p>
    <w:p w:rsidR="002C57B5" w:rsidRPr="00EE5044" w:rsidRDefault="002C57B5" w:rsidP="002C57B5">
      <w:pPr>
        <w:spacing w:after="0" w:line="240" w:lineRule="auto"/>
        <w:ind w:firstLine="720"/>
        <w:jc w:val="center"/>
        <w:rPr>
          <w:rFonts w:ascii="Times New Roman" w:hAnsi="Times New Roman"/>
          <w:b/>
          <w:sz w:val="24"/>
          <w:szCs w:val="24"/>
          <w:lang w:val="uk-UA"/>
        </w:rPr>
      </w:pPr>
      <w:r w:rsidRPr="00EE5044">
        <w:rPr>
          <w:rFonts w:ascii="Times New Roman" w:hAnsi="Times New Roman"/>
          <w:b/>
          <w:sz w:val="24"/>
          <w:szCs w:val="24"/>
          <w:lang w:val="uk-UA"/>
        </w:rPr>
        <w:t>Розгляд позовних заяв</w:t>
      </w:r>
    </w:p>
    <w:p w:rsidR="002C57B5" w:rsidRPr="00EE5044" w:rsidRDefault="002C57B5" w:rsidP="002C57B5">
      <w:pPr>
        <w:spacing w:after="0" w:line="240" w:lineRule="auto"/>
        <w:ind w:firstLine="720"/>
        <w:jc w:val="center"/>
        <w:rPr>
          <w:rFonts w:ascii="Times New Roman" w:hAnsi="Times New Roman"/>
          <w:b/>
          <w:sz w:val="24"/>
          <w:szCs w:val="24"/>
          <w:lang w:val="uk-UA"/>
        </w:rPr>
      </w:pPr>
      <w:r w:rsidRPr="00EE5044">
        <w:rPr>
          <w:rFonts w:ascii="Times New Roman" w:hAnsi="Times New Roman"/>
          <w:sz w:val="24"/>
          <w:szCs w:val="24"/>
          <w:lang w:val="uk-UA"/>
        </w:rPr>
        <w:t xml:space="preserve">У таблиці № 1 наведені показники розгляду позовних заяв суддівським корпусом у першому півріччі 2018 року. </w:t>
      </w:r>
    </w:p>
    <w:p w:rsidR="002C57B5" w:rsidRPr="00EE5044" w:rsidRDefault="002C57B5" w:rsidP="002C57B5">
      <w:pPr>
        <w:shd w:val="clear" w:color="auto" w:fill="FFFFFF"/>
        <w:spacing w:after="0" w:line="240" w:lineRule="auto"/>
        <w:rPr>
          <w:rFonts w:ascii="Times New Roman" w:hAnsi="Times New Roman"/>
          <w:b/>
          <w:bCs/>
          <w:sz w:val="24"/>
          <w:szCs w:val="24"/>
          <w:lang w:val="uk-UA"/>
        </w:rPr>
      </w:pPr>
    </w:p>
    <w:p w:rsidR="002C57B5" w:rsidRPr="00EE5044" w:rsidRDefault="002C57B5" w:rsidP="002C57B5">
      <w:pPr>
        <w:shd w:val="clear" w:color="auto" w:fill="FFFFFF"/>
        <w:spacing w:after="0" w:line="240" w:lineRule="auto"/>
        <w:rPr>
          <w:rFonts w:ascii="Times New Roman" w:hAnsi="Times New Roman"/>
          <w:sz w:val="24"/>
          <w:szCs w:val="24"/>
          <w:lang w:val="uk-UA"/>
        </w:rPr>
      </w:pPr>
      <w:r w:rsidRPr="00EE5044">
        <w:rPr>
          <w:rFonts w:ascii="Times New Roman" w:hAnsi="Times New Roman"/>
          <w:b/>
          <w:bCs/>
          <w:sz w:val="24"/>
          <w:szCs w:val="24"/>
          <w:lang w:val="uk-UA"/>
        </w:rPr>
        <w:t>Таблиця № 1</w:t>
      </w:r>
    </w:p>
    <w:tbl>
      <w:tblPr>
        <w:tblW w:w="0" w:type="auto"/>
        <w:jc w:val="center"/>
        <w:tblCellMar>
          <w:left w:w="0" w:type="dxa"/>
          <w:right w:w="0" w:type="dxa"/>
        </w:tblCellMar>
        <w:tblLook w:val="04A0" w:firstRow="1" w:lastRow="0" w:firstColumn="1" w:lastColumn="0" w:noHBand="0" w:noVBand="1"/>
      </w:tblPr>
      <w:tblGrid>
        <w:gridCol w:w="811"/>
        <w:gridCol w:w="7661"/>
        <w:gridCol w:w="1382"/>
      </w:tblGrid>
      <w:tr w:rsidR="00EE5044" w:rsidRPr="00EE5044" w:rsidTr="00137A77">
        <w:trPr>
          <w:cantSplit/>
          <w:trHeight w:val="404"/>
          <w:jc w:val="center"/>
        </w:trPr>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w:t>
            </w:r>
          </w:p>
        </w:tc>
        <w:tc>
          <w:tcPr>
            <w:tcW w:w="76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Категорія</w:t>
            </w:r>
          </w:p>
        </w:tc>
        <w:tc>
          <w:tcPr>
            <w:tcW w:w="13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Показник</w:t>
            </w:r>
          </w:p>
        </w:tc>
      </w:tr>
      <w:tr w:rsidR="00EE5044" w:rsidRPr="00EE5044" w:rsidTr="00137A77">
        <w:trPr>
          <w:cantSplit/>
          <w:trHeight w:val="825"/>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1</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b/>
                <w:bCs/>
                <w:sz w:val="24"/>
                <w:szCs w:val="24"/>
                <w:lang w:val="uk-UA"/>
              </w:rPr>
              <w:t>Перебувало на розгляді в адміністративному суді позовних заяв у звітному періоді</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2971</w:t>
            </w:r>
          </w:p>
        </w:tc>
      </w:tr>
      <w:tr w:rsidR="00EE5044" w:rsidRPr="00EE5044" w:rsidTr="00137A77">
        <w:trPr>
          <w:cantSplit/>
          <w:trHeight w:val="539"/>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 </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b/>
                <w:bCs/>
                <w:sz w:val="24"/>
                <w:szCs w:val="24"/>
                <w:lang w:val="uk-UA"/>
              </w:rPr>
              <w:t>в тому числі:</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 </w:t>
            </w:r>
          </w:p>
        </w:tc>
      </w:tr>
      <w:tr w:rsidR="00EE5044" w:rsidRPr="00EE5044" w:rsidTr="00137A77">
        <w:trPr>
          <w:cantSplit/>
          <w:trHeight w:val="405"/>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1.1</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позовні заяви, що надійшли у звітному періоді</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imes New Roman" w:hAnsi="Times New Roman"/>
                <w:sz w:val="24"/>
                <w:szCs w:val="24"/>
                <w:lang w:val="uk-UA"/>
              </w:rPr>
            </w:pPr>
            <w:r w:rsidRPr="00EE5044">
              <w:rPr>
                <w:rFonts w:ascii="Times New Roman" w:hAnsi="Times New Roman"/>
                <w:sz w:val="24"/>
                <w:szCs w:val="24"/>
                <w:lang w:val="uk-UA"/>
              </w:rPr>
              <w:t>2644</w:t>
            </w:r>
          </w:p>
        </w:tc>
      </w:tr>
      <w:tr w:rsidR="00EE5044" w:rsidRPr="00EE5044" w:rsidTr="00137A77">
        <w:trPr>
          <w:cantSplit/>
          <w:trHeight w:val="411"/>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lastRenderedPageBreak/>
              <w:t>1.2</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позовні заяви, не розглянуті на початок звітного періоду</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imes New Roman" w:hAnsi="Times New Roman"/>
                <w:sz w:val="24"/>
                <w:szCs w:val="24"/>
                <w:lang w:val="uk-UA"/>
              </w:rPr>
            </w:pPr>
            <w:r w:rsidRPr="00EE5044">
              <w:rPr>
                <w:rFonts w:ascii="Times New Roman" w:hAnsi="Times New Roman"/>
                <w:sz w:val="24"/>
                <w:szCs w:val="24"/>
                <w:lang w:val="uk-UA"/>
              </w:rPr>
              <w:t>327</w:t>
            </w:r>
          </w:p>
        </w:tc>
      </w:tr>
      <w:tr w:rsidR="00EE5044" w:rsidRPr="00EE5044" w:rsidTr="00137A77">
        <w:trPr>
          <w:cantSplit/>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1.3</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розглянуті позовні заяви (всього)</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b/>
                <w:sz w:val="24"/>
                <w:szCs w:val="24"/>
                <w:lang w:val="uk-UA"/>
              </w:rPr>
            </w:pPr>
            <w:r w:rsidRPr="00EE5044">
              <w:rPr>
                <w:rFonts w:ascii="Times New Roman" w:hAnsi="Times New Roman"/>
                <w:b/>
                <w:sz w:val="24"/>
                <w:szCs w:val="24"/>
                <w:lang w:val="uk-UA"/>
              </w:rPr>
              <w:t>2608</w:t>
            </w:r>
          </w:p>
        </w:tc>
      </w:tr>
      <w:tr w:rsidR="00EE5044" w:rsidRPr="00EE5044" w:rsidTr="00137A77">
        <w:trPr>
          <w:cantSplit/>
          <w:trHeight w:val="493"/>
          <w:jc w:val="center"/>
        </w:trPr>
        <w:tc>
          <w:tcPr>
            <w:tcW w:w="985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b/>
                <w:bCs/>
                <w:sz w:val="24"/>
                <w:szCs w:val="24"/>
                <w:lang w:val="uk-UA"/>
              </w:rPr>
              <w:t>в тому числі:</w:t>
            </w:r>
          </w:p>
        </w:tc>
      </w:tr>
      <w:tr w:rsidR="00EE5044" w:rsidRPr="00EE5044" w:rsidTr="00137A77">
        <w:trPr>
          <w:cantSplit/>
          <w:trHeight w:val="401"/>
          <w:jc w:val="center"/>
        </w:trPr>
        <w:tc>
          <w:tcPr>
            <w:tcW w:w="8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1.3.1</w:t>
            </w:r>
          </w:p>
        </w:tc>
        <w:tc>
          <w:tcPr>
            <w:tcW w:w="7661"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24"/>
                <w:szCs w:val="24"/>
                <w:lang w:val="uk-UA"/>
              </w:rPr>
            </w:pPr>
            <w:r w:rsidRPr="00EE5044">
              <w:rPr>
                <w:rFonts w:ascii="Times New Roman" w:hAnsi="Times New Roman"/>
                <w:sz w:val="24"/>
                <w:szCs w:val="24"/>
                <w:lang w:val="uk-UA"/>
              </w:rPr>
              <w:t>позовні заяви, повернуті позивачам</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24"/>
                <w:szCs w:val="24"/>
                <w:lang w:val="uk-UA"/>
              </w:rPr>
            </w:pPr>
            <w:r w:rsidRPr="00EE5044">
              <w:rPr>
                <w:rFonts w:ascii="Times New Roman" w:hAnsi="Times New Roman"/>
                <w:sz w:val="24"/>
                <w:szCs w:val="24"/>
                <w:lang w:val="uk-UA"/>
              </w:rPr>
              <w:t>549</w:t>
            </w:r>
          </w:p>
        </w:tc>
      </w:tr>
      <w:tr w:rsidR="00EE5044" w:rsidRPr="00EE5044" w:rsidTr="00137A77">
        <w:trPr>
          <w:cantSplit/>
          <w:trHeight w:val="407"/>
          <w:jc w:val="center"/>
        </w:trPr>
        <w:tc>
          <w:tcPr>
            <w:tcW w:w="81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C57B5" w:rsidRPr="00EE5044" w:rsidRDefault="002C57B5" w:rsidP="00137A77">
            <w:pPr>
              <w:spacing w:before="100" w:beforeAutospacing="1" w:after="0"/>
              <w:rPr>
                <w:rFonts w:ascii="Times New Roman" w:hAnsi="Times New Roman"/>
                <w:sz w:val="24"/>
                <w:szCs w:val="24"/>
                <w:lang w:val="uk-UA"/>
              </w:rPr>
            </w:pPr>
            <w:r w:rsidRPr="00EE5044">
              <w:rPr>
                <w:rFonts w:ascii="Times New Roman" w:hAnsi="Times New Roman"/>
                <w:sz w:val="24"/>
                <w:szCs w:val="24"/>
                <w:lang w:val="uk-UA"/>
              </w:rPr>
              <w:t>1.3.2</w:t>
            </w:r>
          </w:p>
        </w:tc>
        <w:tc>
          <w:tcPr>
            <w:tcW w:w="7661" w:type="dxa"/>
            <w:tcBorders>
              <w:top w:val="nil"/>
              <w:left w:val="nil"/>
              <w:bottom w:val="single" w:sz="4" w:space="0" w:color="auto"/>
              <w:right w:val="single" w:sz="8" w:space="0" w:color="000000"/>
            </w:tcBorders>
            <w:tcMar>
              <w:top w:w="0" w:type="dxa"/>
              <w:left w:w="108" w:type="dxa"/>
              <w:bottom w:w="0" w:type="dxa"/>
              <w:right w:w="108" w:type="dxa"/>
            </w:tcMar>
          </w:tcPr>
          <w:p w:rsidR="002C57B5" w:rsidRPr="00EE5044" w:rsidRDefault="002C57B5" w:rsidP="00137A77">
            <w:pPr>
              <w:spacing w:before="100" w:beforeAutospacing="1" w:after="0"/>
              <w:rPr>
                <w:rFonts w:ascii="Times New Roman" w:hAnsi="Times New Roman"/>
                <w:sz w:val="24"/>
                <w:szCs w:val="24"/>
                <w:lang w:val="uk-UA"/>
              </w:rPr>
            </w:pPr>
            <w:r w:rsidRPr="00EE5044">
              <w:rPr>
                <w:rFonts w:ascii="Times New Roman" w:hAnsi="Times New Roman"/>
                <w:sz w:val="24"/>
                <w:szCs w:val="24"/>
                <w:lang w:val="uk-UA"/>
              </w:rPr>
              <w:t>позовні заяви направлені за підсудність</w:t>
            </w:r>
          </w:p>
        </w:tc>
        <w:tc>
          <w:tcPr>
            <w:tcW w:w="1382" w:type="dxa"/>
            <w:tcBorders>
              <w:top w:val="nil"/>
              <w:left w:val="nil"/>
              <w:bottom w:val="single" w:sz="4" w:space="0" w:color="auto"/>
              <w:right w:val="single" w:sz="8" w:space="0" w:color="000000"/>
            </w:tcBorders>
            <w:tcMar>
              <w:top w:w="0" w:type="dxa"/>
              <w:left w:w="108" w:type="dxa"/>
              <w:bottom w:w="0" w:type="dxa"/>
              <w:right w:w="108" w:type="dxa"/>
            </w:tcMar>
          </w:tcPr>
          <w:p w:rsidR="002C57B5" w:rsidRPr="00EE5044" w:rsidRDefault="002C57B5" w:rsidP="00137A77">
            <w:pPr>
              <w:spacing w:before="100" w:beforeAutospacing="1" w:after="0"/>
              <w:jc w:val="center"/>
              <w:rPr>
                <w:rFonts w:ascii="Times New Roman" w:hAnsi="Times New Roman"/>
                <w:sz w:val="24"/>
                <w:szCs w:val="24"/>
                <w:lang w:val="uk-UA"/>
              </w:rPr>
            </w:pPr>
            <w:r w:rsidRPr="00EE5044">
              <w:rPr>
                <w:rFonts w:ascii="Times New Roman" w:hAnsi="Times New Roman"/>
                <w:sz w:val="24"/>
                <w:szCs w:val="24"/>
                <w:lang w:val="uk-UA"/>
              </w:rPr>
              <w:t>22</w:t>
            </w:r>
          </w:p>
        </w:tc>
      </w:tr>
      <w:tr w:rsidR="00EE5044" w:rsidRPr="00EE5044" w:rsidTr="00137A77">
        <w:trPr>
          <w:cantSplit/>
          <w:jc w:val="center"/>
        </w:trPr>
        <w:tc>
          <w:tcPr>
            <w:tcW w:w="8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 1.3.3</w:t>
            </w:r>
          </w:p>
        </w:tc>
        <w:tc>
          <w:tcPr>
            <w:tcW w:w="7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позови, щодо яких винесено рішення про відмову у відкритті провадження у справі</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14"/>
                <w:szCs w:val="14"/>
                <w:lang w:val="uk-UA"/>
              </w:rPr>
            </w:pPr>
            <w:r w:rsidRPr="00EE5044">
              <w:rPr>
                <w:rFonts w:ascii="Times New Roman" w:hAnsi="Times New Roman"/>
                <w:sz w:val="24"/>
                <w:szCs w:val="24"/>
                <w:lang w:val="uk-UA"/>
              </w:rPr>
              <w:t>32</w:t>
            </w:r>
          </w:p>
        </w:tc>
      </w:tr>
      <w:tr w:rsidR="00EE5044" w:rsidRPr="00EE5044" w:rsidTr="00137A77">
        <w:trPr>
          <w:cantSplit/>
          <w:trHeight w:val="49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C57B5" w:rsidRPr="00EE5044" w:rsidRDefault="002C57B5" w:rsidP="00137A77">
            <w:pPr>
              <w:spacing w:after="0"/>
              <w:rPr>
                <w:rFonts w:ascii="Tahoma" w:hAnsi="Tahoma" w:cs="Tahoma"/>
                <w:sz w:val="14"/>
                <w:szCs w:val="14"/>
                <w:lang w:val="uk-UA"/>
              </w:rPr>
            </w:pPr>
          </w:p>
        </w:tc>
        <w:tc>
          <w:tcPr>
            <w:tcW w:w="7661"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залишено без розгляду</w:t>
            </w:r>
          </w:p>
        </w:tc>
        <w:tc>
          <w:tcPr>
            <w:tcW w:w="138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14"/>
                <w:szCs w:val="14"/>
                <w:lang w:val="uk-UA"/>
              </w:rPr>
            </w:pPr>
            <w:r w:rsidRPr="00EE5044">
              <w:rPr>
                <w:rFonts w:ascii="Times New Roman" w:hAnsi="Times New Roman"/>
                <w:sz w:val="24"/>
                <w:szCs w:val="24"/>
                <w:lang w:val="uk-UA"/>
              </w:rPr>
              <w:t>5</w:t>
            </w:r>
          </w:p>
        </w:tc>
      </w:tr>
      <w:tr w:rsidR="00EE5044" w:rsidRPr="00EE5044" w:rsidTr="00137A77">
        <w:trPr>
          <w:cantSplit/>
          <w:trHeight w:val="540"/>
          <w:jc w:val="center"/>
        </w:trPr>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1.3.4</w:t>
            </w:r>
          </w:p>
        </w:tc>
        <w:tc>
          <w:tcPr>
            <w:tcW w:w="7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позови, щодо яких вирішено питання про відкриття провадження</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14"/>
                <w:szCs w:val="14"/>
                <w:lang w:val="uk-UA"/>
              </w:rPr>
            </w:pPr>
            <w:r w:rsidRPr="00EE5044">
              <w:rPr>
                <w:rFonts w:ascii="Times New Roman" w:hAnsi="Times New Roman"/>
                <w:sz w:val="24"/>
                <w:szCs w:val="24"/>
                <w:lang w:val="uk-UA"/>
              </w:rPr>
              <w:t>2000</w:t>
            </w:r>
          </w:p>
        </w:tc>
      </w:tr>
      <w:tr w:rsidR="00EE5044" w:rsidRPr="00EE5044" w:rsidTr="00137A77">
        <w:trPr>
          <w:cantSplit/>
          <w:jc w:val="center"/>
        </w:trPr>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1.4</w:t>
            </w:r>
          </w:p>
        </w:tc>
        <w:tc>
          <w:tcPr>
            <w:tcW w:w="7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 xml:space="preserve">позовні заяви, щодо яких не вирішено питання про відкриття провадження у справі </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b/>
                <w:sz w:val="14"/>
                <w:szCs w:val="14"/>
                <w:lang w:val="uk-UA"/>
              </w:rPr>
            </w:pPr>
            <w:r w:rsidRPr="00EE5044">
              <w:rPr>
                <w:rFonts w:ascii="Times New Roman" w:hAnsi="Times New Roman"/>
                <w:b/>
                <w:sz w:val="24"/>
                <w:szCs w:val="24"/>
                <w:lang w:val="uk-UA"/>
              </w:rPr>
              <w:t>363</w:t>
            </w:r>
          </w:p>
        </w:tc>
      </w:tr>
      <w:tr w:rsidR="00EE5044" w:rsidRPr="00EE5044" w:rsidTr="00137A77">
        <w:trPr>
          <w:cantSplit/>
          <w:jc w:val="center"/>
        </w:trPr>
        <w:tc>
          <w:tcPr>
            <w:tcW w:w="9854" w:type="dxa"/>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14"/>
                <w:szCs w:val="14"/>
                <w:lang w:val="uk-UA"/>
              </w:rPr>
            </w:pPr>
            <w:r w:rsidRPr="00EE5044">
              <w:rPr>
                <w:rFonts w:ascii="Times New Roman" w:hAnsi="Times New Roman"/>
                <w:b/>
                <w:bCs/>
                <w:sz w:val="24"/>
                <w:szCs w:val="24"/>
                <w:lang w:val="uk-UA"/>
              </w:rPr>
              <w:t>в тому числі:</w:t>
            </w:r>
          </w:p>
        </w:tc>
      </w:tr>
      <w:tr w:rsidR="00EE5044" w:rsidRPr="00EE5044" w:rsidTr="00137A77">
        <w:trPr>
          <w:cantSplit/>
          <w:jc w:val="center"/>
        </w:trPr>
        <w:tc>
          <w:tcPr>
            <w:tcW w:w="81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1.4.1</w:t>
            </w:r>
          </w:p>
        </w:tc>
        <w:tc>
          <w:tcPr>
            <w:tcW w:w="7661" w:type="dxa"/>
            <w:tcBorders>
              <w:top w:val="nil"/>
              <w:left w:val="nil"/>
              <w:bottom w:val="single" w:sz="4" w:space="0" w:color="auto"/>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rPr>
                <w:rFonts w:ascii="Tahoma" w:hAnsi="Tahoma" w:cs="Tahoma"/>
                <w:sz w:val="14"/>
                <w:szCs w:val="14"/>
                <w:lang w:val="uk-UA"/>
              </w:rPr>
            </w:pPr>
            <w:r w:rsidRPr="00EE5044">
              <w:rPr>
                <w:rFonts w:ascii="Times New Roman" w:hAnsi="Times New Roman"/>
                <w:sz w:val="24"/>
                <w:szCs w:val="24"/>
                <w:lang w:val="uk-UA"/>
              </w:rPr>
              <w:t>залишені без руху з наданням строку для усунення недоліків</w:t>
            </w:r>
          </w:p>
        </w:tc>
        <w:tc>
          <w:tcPr>
            <w:tcW w:w="1382" w:type="dxa"/>
            <w:tcBorders>
              <w:top w:val="nil"/>
              <w:left w:val="nil"/>
              <w:bottom w:val="single" w:sz="4" w:space="0" w:color="auto"/>
              <w:right w:val="single" w:sz="8" w:space="0" w:color="000000"/>
            </w:tcBorders>
            <w:tcMar>
              <w:top w:w="0" w:type="dxa"/>
              <w:left w:w="108" w:type="dxa"/>
              <w:bottom w:w="0" w:type="dxa"/>
              <w:right w:w="108" w:type="dxa"/>
            </w:tcMar>
            <w:hideMark/>
          </w:tcPr>
          <w:p w:rsidR="002C57B5" w:rsidRPr="00EE5044" w:rsidRDefault="002C57B5" w:rsidP="00137A77">
            <w:pPr>
              <w:spacing w:before="100" w:beforeAutospacing="1" w:after="0"/>
              <w:jc w:val="center"/>
              <w:rPr>
                <w:rFonts w:ascii="Tahoma" w:hAnsi="Tahoma" w:cs="Tahoma"/>
                <w:sz w:val="14"/>
                <w:szCs w:val="14"/>
                <w:lang w:val="uk-UA"/>
              </w:rPr>
            </w:pPr>
            <w:r w:rsidRPr="00EE5044">
              <w:rPr>
                <w:rFonts w:ascii="Times New Roman" w:hAnsi="Times New Roman"/>
                <w:sz w:val="24"/>
                <w:szCs w:val="24"/>
                <w:lang w:val="uk-UA"/>
              </w:rPr>
              <w:t>224</w:t>
            </w:r>
          </w:p>
        </w:tc>
      </w:tr>
    </w:tbl>
    <w:p w:rsidR="002C57B5" w:rsidRPr="00EE5044" w:rsidRDefault="002C57B5" w:rsidP="002C57B5">
      <w:pPr>
        <w:spacing w:after="0" w:line="240" w:lineRule="auto"/>
        <w:jc w:val="center"/>
        <w:rPr>
          <w:b/>
          <w:bCs/>
          <w:sz w:val="24"/>
          <w:szCs w:val="24"/>
          <w:lang w:val="uk-UA"/>
        </w:rPr>
      </w:pPr>
    </w:p>
    <w:p w:rsidR="002C57B5" w:rsidRPr="00EE5044" w:rsidRDefault="002C57B5" w:rsidP="002C57B5">
      <w:pPr>
        <w:spacing w:after="0" w:line="240" w:lineRule="auto"/>
        <w:ind w:left="-142" w:firstLine="708"/>
        <w:jc w:val="both"/>
        <w:rPr>
          <w:rFonts w:ascii="Times New Roman" w:hAnsi="Times New Roman"/>
          <w:sz w:val="24"/>
          <w:szCs w:val="24"/>
          <w:lang w:val="uk-UA"/>
        </w:rPr>
      </w:pPr>
      <w:r w:rsidRPr="00EE5044">
        <w:rPr>
          <w:rFonts w:ascii="Times New Roman" w:hAnsi="Times New Roman"/>
          <w:sz w:val="24"/>
          <w:szCs w:val="24"/>
          <w:lang w:val="uk-UA"/>
        </w:rPr>
        <w:t xml:space="preserve">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(10), показник середньомісячного надходження складає </w:t>
      </w:r>
      <w:r w:rsidRPr="00EE5044">
        <w:rPr>
          <w:rFonts w:ascii="Times New Roman" w:hAnsi="Times New Roman"/>
          <w:b/>
          <w:sz w:val="24"/>
          <w:szCs w:val="24"/>
          <w:lang w:val="uk-UA"/>
        </w:rPr>
        <w:t>84</w:t>
      </w:r>
      <w:r w:rsidRPr="00EE5044">
        <w:rPr>
          <w:rFonts w:ascii="Times New Roman" w:hAnsi="Times New Roman"/>
          <w:sz w:val="24"/>
          <w:szCs w:val="24"/>
          <w:lang w:val="uk-UA"/>
        </w:rPr>
        <w:t xml:space="preserve"> справи та матеріали, що на </w:t>
      </w:r>
      <w:r w:rsidRPr="00EE5044">
        <w:rPr>
          <w:rFonts w:ascii="Times New Roman" w:hAnsi="Times New Roman"/>
          <w:b/>
          <w:sz w:val="24"/>
          <w:szCs w:val="24"/>
          <w:lang w:val="uk-UA"/>
        </w:rPr>
        <w:t>68%</w:t>
      </w:r>
      <w:r w:rsidRPr="00EE5044">
        <w:rPr>
          <w:rFonts w:ascii="Times New Roman" w:hAnsi="Times New Roman"/>
          <w:sz w:val="24"/>
          <w:szCs w:val="24"/>
          <w:lang w:val="uk-UA"/>
        </w:rPr>
        <w:t xml:space="preserve"> більше, ніж у відповідному періоді 2017 року (</w:t>
      </w:r>
      <w:r w:rsidRPr="00EE5044">
        <w:rPr>
          <w:rFonts w:ascii="Times New Roman" w:hAnsi="Times New Roman"/>
          <w:b/>
          <w:sz w:val="24"/>
          <w:szCs w:val="24"/>
          <w:lang w:val="uk-UA"/>
        </w:rPr>
        <w:t>50</w:t>
      </w:r>
      <w:r w:rsidRPr="00EE5044">
        <w:rPr>
          <w:rFonts w:ascii="Times New Roman" w:hAnsi="Times New Roman"/>
          <w:sz w:val="24"/>
          <w:szCs w:val="24"/>
          <w:lang w:val="uk-UA"/>
        </w:rPr>
        <w:t xml:space="preserve"> з розрахунку 11 фактично працюючих суддів). </w:t>
      </w:r>
    </w:p>
    <w:p w:rsidR="002C57B5" w:rsidRPr="00EE5044" w:rsidRDefault="002C57B5" w:rsidP="002C57B5">
      <w:pPr>
        <w:shd w:val="clear" w:color="auto" w:fill="FFFFFF"/>
        <w:spacing w:after="0" w:line="240" w:lineRule="auto"/>
        <w:ind w:left="-142" w:firstLine="709"/>
        <w:jc w:val="both"/>
        <w:rPr>
          <w:rFonts w:ascii="Times New Roman" w:hAnsi="Times New Roman"/>
          <w:sz w:val="24"/>
          <w:szCs w:val="24"/>
          <w:lang w:val="uk-UA"/>
        </w:rPr>
      </w:pPr>
      <w:r w:rsidRPr="00EE5044">
        <w:rPr>
          <w:rFonts w:ascii="Times New Roman" w:hAnsi="Times New Roman"/>
          <w:sz w:val="24"/>
          <w:szCs w:val="24"/>
          <w:lang w:val="uk-UA"/>
        </w:rPr>
        <w:t>Згідно з Базовими показниками роботи суду, с</w:t>
      </w:r>
      <w:r w:rsidRPr="00EE5044">
        <w:rPr>
          <w:rFonts w:ascii="Times New Roman" w:hAnsi="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Pr="00EE5044">
        <w:rPr>
          <w:rFonts w:ascii="Times New Roman" w:hAnsi="Times New Roman"/>
          <w:b/>
          <w:sz w:val="24"/>
          <w:szCs w:val="24"/>
          <w:lang w:val="uk-UA" w:eastAsia="uk-UA"/>
        </w:rPr>
        <w:t xml:space="preserve">450 </w:t>
      </w:r>
      <w:r w:rsidRPr="00EE5044">
        <w:rPr>
          <w:rFonts w:ascii="Times New Roman" w:hAnsi="Times New Roman"/>
          <w:sz w:val="24"/>
          <w:szCs w:val="24"/>
          <w:lang w:val="uk-UA" w:eastAsia="uk-UA"/>
        </w:rPr>
        <w:t xml:space="preserve">справ та матеріалів, що на </w:t>
      </w:r>
      <w:r w:rsidRPr="00EE5044">
        <w:rPr>
          <w:rFonts w:ascii="Times New Roman" w:hAnsi="Times New Roman"/>
          <w:b/>
          <w:sz w:val="24"/>
          <w:szCs w:val="24"/>
          <w:lang w:val="uk-UA" w:eastAsia="uk-UA"/>
        </w:rPr>
        <w:t>40,6%</w:t>
      </w:r>
      <w:r w:rsidRPr="00EE5044">
        <w:rPr>
          <w:rFonts w:ascii="Times New Roman" w:hAnsi="Times New Roman"/>
          <w:sz w:val="24"/>
          <w:szCs w:val="24"/>
          <w:lang w:val="uk-UA" w:eastAsia="uk-UA"/>
        </w:rPr>
        <w:t xml:space="preserve"> більше, ніж у </w:t>
      </w:r>
      <w:r w:rsidRPr="00EE5044">
        <w:rPr>
          <w:rFonts w:ascii="Times New Roman" w:hAnsi="Times New Roman"/>
          <w:sz w:val="24"/>
          <w:szCs w:val="24"/>
          <w:lang w:val="uk-UA"/>
        </w:rPr>
        <w:t>першому півріччі 2017 року (</w:t>
      </w:r>
      <w:r w:rsidRPr="00EE5044">
        <w:rPr>
          <w:rFonts w:ascii="Times New Roman" w:hAnsi="Times New Roman"/>
          <w:b/>
          <w:sz w:val="24"/>
          <w:szCs w:val="24"/>
          <w:lang w:val="uk-UA"/>
        </w:rPr>
        <w:t>320</w:t>
      </w:r>
      <w:r w:rsidRPr="00EE5044">
        <w:rPr>
          <w:rFonts w:ascii="Times New Roman" w:hAnsi="Times New Roman"/>
          <w:sz w:val="24"/>
          <w:szCs w:val="24"/>
          <w:lang w:val="uk-UA"/>
        </w:rPr>
        <w:t>).</w:t>
      </w:r>
    </w:p>
    <w:p w:rsidR="002C57B5" w:rsidRPr="00EE5044" w:rsidRDefault="002C57B5" w:rsidP="002C57B5">
      <w:pPr>
        <w:spacing w:after="0" w:line="240" w:lineRule="auto"/>
        <w:ind w:firstLine="567"/>
        <w:jc w:val="both"/>
        <w:rPr>
          <w:rFonts w:ascii="Times New Roman" w:hAnsi="Times New Roman"/>
          <w:sz w:val="24"/>
          <w:szCs w:val="24"/>
          <w:lang w:val="uk-UA"/>
        </w:rPr>
      </w:pPr>
      <w:r w:rsidRPr="00EE5044">
        <w:rPr>
          <w:rFonts w:ascii="Times New Roman" w:hAnsi="Times New Roman"/>
          <w:sz w:val="24"/>
          <w:szCs w:val="24"/>
          <w:lang w:val="uk-UA"/>
        </w:rPr>
        <w:t>Різниця в показниках обумовлена різними формами обрахунку даних.</w:t>
      </w:r>
    </w:p>
    <w:p w:rsidR="002C57B5" w:rsidRPr="00EE5044" w:rsidRDefault="002C57B5" w:rsidP="002C57B5">
      <w:pPr>
        <w:shd w:val="clear" w:color="auto" w:fill="FFFFFF"/>
        <w:spacing w:after="0" w:line="240" w:lineRule="auto"/>
        <w:ind w:firstLine="709"/>
        <w:jc w:val="both"/>
        <w:rPr>
          <w:rFonts w:ascii="Times New Roman" w:hAnsi="Times New Roman"/>
          <w:sz w:val="24"/>
          <w:szCs w:val="24"/>
          <w:lang w:val="uk-UA" w:eastAsia="uk-UA"/>
        </w:rPr>
      </w:pPr>
    </w:p>
    <w:p w:rsidR="002C57B5" w:rsidRPr="00EE5044" w:rsidRDefault="002C57B5" w:rsidP="002C57B5">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Розгляд адміністративних справ</w:t>
      </w:r>
    </w:p>
    <w:p w:rsidR="002C57B5" w:rsidRPr="00EE5044" w:rsidRDefault="002C57B5" w:rsidP="002C57B5">
      <w:pPr>
        <w:spacing w:after="0" w:line="240" w:lineRule="auto"/>
        <w:jc w:val="center"/>
        <w:rPr>
          <w:rFonts w:ascii="Times New Roman" w:hAnsi="Times New Roman"/>
          <w:b/>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У першому півріччі 2018 року на розгляді в Запорізькому окружному адміністративному суді перебувало </w:t>
      </w:r>
      <w:r w:rsidRPr="00EE5044">
        <w:rPr>
          <w:rFonts w:ascii="Times New Roman" w:hAnsi="Times New Roman"/>
          <w:b/>
          <w:sz w:val="24"/>
          <w:szCs w:val="24"/>
          <w:lang w:val="uk-UA"/>
        </w:rPr>
        <w:t>2990</w:t>
      </w:r>
      <w:r w:rsidRPr="00EE5044">
        <w:rPr>
          <w:rFonts w:ascii="Times New Roman" w:hAnsi="Times New Roman"/>
          <w:sz w:val="24"/>
          <w:szCs w:val="24"/>
          <w:lang w:val="uk-UA"/>
        </w:rPr>
        <w:t xml:space="preserve"> справ, з яких залишок нерозглянутих справ на початок звітного періоду становив </w:t>
      </w:r>
      <w:r w:rsidRPr="00EE5044">
        <w:rPr>
          <w:rFonts w:ascii="Times New Roman" w:hAnsi="Times New Roman"/>
          <w:b/>
          <w:sz w:val="24"/>
          <w:szCs w:val="24"/>
          <w:lang w:val="uk-UA"/>
        </w:rPr>
        <w:t>904</w:t>
      </w:r>
      <w:r w:rsidRPr="00EE5044">
        <w:rPr>
          <w:rFonts w:ascii="Times New Roman" w:hAnsi="Times New Roman"/>
          <w:sz w:val="24"/>
          <w:szCs w:val="24"/>
          <w:lang w:val="uk-UA"/>
        </w:rPr>
        <w:t xml:space="preserve"> справи, та </w:t>
      </w:r>
      <w:r w:rsidRPr="00EE5044">
        <w:rPr>
          <w:rFonts w:ascii="Times New Roman" w:hAnsi="Times New Roman"/>
          <w:b/>
          <w:sz w:val="24"/>
          <w:szCs w:val="24"/>
          <w:lang w:val="uk-UA"/>
        </w:rPr>
        <w:t>2086</w:t>
      </w:r>
      <w:r w:rsidRPr="00EE5044">
        <w:rPr>
          <w:rFonts w:ascii="Times New Roman" w:hAnsi="Times New Roman"/>
          <w:sz w:val="24"/>
          <w:szCs w:val="24"/>
          <w:lang w:val="uk-UA"/>
        </w:rPr>
        <w:t xml:space="preserve"> справ надійшли на розгляд у звітному періоді. Кількість справ, що надійшла на розгляд у звітному періоді, є на </w:t>
      </w:r>
      <w:r w:rsidRPr="00EE5044">
        <w:rPr>
          <w:rFonts w:ascii="Times New Roman" w:hAnsi="Times New Roman"/>
          <w:b/>
          <w:sz w:val="24"/>
          <w:szCs w:val="24"/>
          <w:lang w:val="uk-UA"/>
        </w:rPr>
        <w:t>14,2</w:t>
      </w:r>
      <w:r w:rsidRPr="00EE5044">
        <w:rPr>
          <w:rFonts w:ascii="Times New Roman" w:hAnsi="Times New Roman"/>
          <w:sz w:val="24"/>
          <w:szCs w:val="24"/>
          <w:lang w:val="uk-UA"/>
        </w:rPr>
        <w:t>% більше, ніж у першому півріччі 2017 року (1826 справ).</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noProof/>
          <w:lang w:val="uk-UA"/>
        </w:rPr>
        <w:drawing>
          <wp:anchor distT="0" distB="0" distL="114300" distR="114300" simplePos="0" relativeHeight="251659776" behindDoc="0" locked="0" layoutInCell="1" allowOverlap="1">
            <wp:simplePos x="0" y="0"/>
            <wp:positionH relativeFrom="column">
              <wp:posOffset>276860</wp:posOffset>
            </wp:positionH>
            <wp:positionV relativeFrom="paragraph">
              <wp:posOffset>212725</wp:posOffset>
            </wp:positionV>
            <wp:extent cx="5845810" cy="1737360"/>
            <wp:effectExtent l="0" t="0" r="3175"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Із справ, що перебували на розгляді у першому півріччі 2018 року, провадження було закінчено по 1 869 справах, а саме:</w:t>
      </w:r>
    </w:p>
    <w:p w:rsidR="002C57B5" w:rsidRPr="00EE5044" w:rsidRDefault="002C57B5" w:rsidP="002C57B5">
      <w:pPr>
        <w:numPr>
          <w:ilvl w:val="0"/>
          <w:numId w:val="1"/>
        </w:numPr>
        <w:spacing w:after="0" w:line="240" w:lineRule="auto"/>
        <w:ind w:firstLine="349"/>
        <w:jc w:val="both"/>
        <w:rPr>
          <w:rFonts w:ascii="Times New Roman" w:hAnsi="Times New Roman"/>
          <w:sz w:val="24"/>
          <w:szCs w:val="24"/>
          <w:lang w:val="uk-UA"/>
        </w:rPr>
      </w:pPr>
      <w:r w:rsidRPr="00EE5044">
        <w:rPr>
          <w:rFonts w:ascii="Times New Roman" w:hAnsi="Times New Roman"/>
          <w:sz w:val="24"/>
          <w:szCs w:val="24"/>
          <w:lang w:val="uk-UA"/>
        </w:rPr>
        <w:lastRenderedPageBreak/>
        <w:t>по 1 567 справах провадження закінчене з прийняттям рішень, що становить 83,8% від розглянутих справ;</w:t>
      </w:r>
    </w:p>
    <w:p w:rsidR="002C57B5" w:rsidRPr="00EE5044" w:rsidRDefault="002C57B5" w:rsidP="002C57B5">
      <w:pPr>
        <w:numPr>
          <w:ilvl w:val="0"/>
          <w:numId w:val="1"/>
        </w:numPr>
        <w:spacing w:after="0" w:line="240" w:lineRule="auto"/>
        <w:ind w:firstLine="349"/>
        <w:jc w:val="both"/>
        <w:rPr>
          <w:rFonts w:ascii="Times New Roman" w:hAnsi="Times New Roman"/>
          <w:sz w:val="24"/>
          <w:szCs w:val="24"/>
          <w:lang w:val="uk-UA"/>
        </w:rPr>
      </w:pPr>
      <w:r w:rsidRPr="00EE5044">
        <w:rPr>
          <w:rFonts w:ascii="Times New Roman" w:hAnsi="Times New Roman"/>
          <w:sz w:val="24"/>
          <w:szCs w:val="24"/>
          <w:lang w:val="uk-UA"/>
        </w:rPr>
        <w:t xml:space="preserve"> прийнято 1 258 рішень про задоволення позову (80,2% від загальної кількості рішень, що винесені суддями за перше півріччя 2018 року);</w:t>
      </w:r>
    </w:p>
    <w:p w:rsidR="002C57B5" w:rsidRPr="00EE5044" w:rsidRDefault="002C57B5" w:rsidP="002C57B5">
      <w:pPr>
        <w:numPr>
          <w:ilvl w:val="0"/>
          <w:numId w:val="1"/>
        </w:numPr>
        <w:spacing w:after="0" w:line="240" w:lineRule="auto"/>
        <w:ind w:firstLine="349"/>
        <w:jc w:val="both"/>
        <w:rPr>
          <w:rFonts w:ascii="Times New Roman" w:hAnsi="Times New Roman"/>
          <w:sz w:val="24"/>
          <w:szCs w:val="24"/>
          <w:lang w:val="uk-UA"/>
        </w:rPr>
      </w:pPr>
      <w:r w:rsidRPr="00EE5044">
        <w:rPr>
          <w:rFonts w:ascii="Times New Roman" w:hAnsi="Times New Roman"/>
          <w:sz w:val="24"/>
          <w:szCs w:val="24"/>
          <w:lang w:val="uk-UA"/>
        </w:rPr>
        <w:t>1 справа закінчена із постановленням ухвали про передачу справи до іншого суду;</w:t>
      </w:r>
    </w:p>
    <w:p w:rsidR="002C57B5" w:rsidRPr="00EE5044" w:rsidRDefault="002C57B5" w:rsidP="002C57B5">
      <w:pPr>
        <w:numPr>
          <w:ilvl w:val="0"/>
          <w:numId w:val="1"/>
        </w:numPr>
        <w:spacing w:after="0" w:line="240" w:lineRule="auto"/>
        <w:ind w:firstLine="349"/>
        <w:jc w:val="both"/>
        <w:rPr>
          <w:rFonts w:ascii="Times New Roman" w:hAnsi="Times New Roman"/>
          <w:sz w:val="24"/>
          <w:szCs w:val="24"/>
          <w:lang w:val="uk-UA"/>
        </w:rPr>
      </w:pPr>
      <w:r w:rsidRPr="00EE5044">
        <w:rPr>
          <w:rFonts w:ascii="Times New Roman" w:hAnsi="Times New Roman"/>
          <w:sz w:val="24"/>
          <w:szCs w:val="24"/>
          <w:lang w:val="uk-UA"/>
        </w:rPr>
        <w:t>199 – із постановленням ухвали про закриття провадження у справі;</w:t>
      </w:r>
    </w:p>
    <w:p w:rsidR="002C57B5" w:rsidRPr="00EE5044" w:rsidRDefault="002C57B5" w:rsidP="002C57B5">
      <w:pPr>
        <w:numPr>
          <w:ilvl w:val="0"/>
          <w:numId w:val="1"/>
        </w:numPr>
        <w:spacing w:after="0" w:line="240" w:lineRule="auto"/>
        <w:ind w:firstLine="349"/>
        <w:jc w:val="both"/>
        <w:rPr>
          <w:rFonts w:ascii="Times New Roman" w:hAnsi="Times New Roman"/>
          <w:sz w:val="24"/>
          <w:szCs w:val="24"/>
          <w:lang w:val="uk-UA"/>
        </w:rPr>
      </w:pPr>
      <w:r w:rsidRPr="00EE5044">
        <w:rPr>
          <w:rFonts w:ascii="Times New Roman" w:hAnsi="Times New Roman"/>
          <w:sz w:val="24"/>
          <w:szCs w:val="24"/>
          <w:lang w:val="uk-UA"/>
        </w:rPr>
        <w:t>102 – із постановленням ухвали про залишення заяви без розгляду.</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Залишок нерозглянутих справ на кінець звітного періоду складає </w:t>
      </w:r>
      <w:r w:rsidRPr="00EE5044">
        <w:rPr>
          <w:rFonts w:ascii="Times New Roman" w:hAnsi="Times New Roman"/>
          <w:b/>
          <w:sz w:val="24"/>
          <w:szCs w:val="24"/>
          <w:lang w:val="uk-UA"/>
        </w:rPr>
        <w:t>1121</w:t>
      </w:r>
      <w:r w:rsidRPr="00EE5044">
        <w:rPr>
          <w:rFonts w:ascii="Times New Roman" w:hAnsi="Times New Roman"/>
          <w:sz w:val="24"/>
          <w:szCs w:val="24"/>
          <w:lang w:val="uk-UA"/>
        </w:rPr>
        <w:t xml:space="preserve"> справу, з яких по 371 справі провадження зупинене (33,1% від залишку нерозглянутих адміністративних справ на кінець звітного періоду).</w:t>
      </w:r>
    </w:p>
    <w:p w:rsidR="002C57B5" w:rsidRPr="00EE5044" w:rsidRDefault="002C57B5" w:rsidP="002C57B5">
      <w:pPr>
        <w:spacing w:after="0" w:line="240" w:lineRule="auto"/>
        <w:ind w:left="709"/>
        <w:jc w:val="both"/>
        <w:rPr>
          <w:rFonts w:ascii="Times New Roman" w:hAnsi="Times New Roman"/>
          <w:sz w:val="24"/>
          <w:szCs w:val="24"/>
          <w:lang w:val="uk-UA"/>
        </w:rPr>
      </w:pPr>
    </w:p>
    <w:p w:rsidR="002C57B5" w:rsidRPr="00EE5044" w:rsidRDefault="002C57B5" w:rsidP="002C57B5">
      <w:pPr>
        <w:spacing w:after="0" w:line="240" w:lineRule="auto"/>
        <w:ind w:firstLine="709"/>
        <w:jc w:val="both"/>
        <w:rPr>
          <w:rFonts w:ascii="Times New Roman" w:hAnsi="Times New Roman"/>
          <w:sz w:val="24"/>
          <w:szCs w:val="24"/>
          <w:lang w:val="uk-UA"/>
        </w:rPr>
      </w:pPr>
      <w:r w:rsidRPr="00EE5044">
        <w:rPr>
          <w:rFonts w:ascii="Times New Roman" w:hAnsi="Times New Roman"/>
          <w:sz w:val="24"/>
          <w:szCs w:val="24"/>
          <w:lang w:val="uk-UA"/>
        </w:rPr>
        <w:t xml:space="preserve">434 адміністративні справи розглянуто із фіксуванням судового процесу технічними засобами, що на 24% більше у порівнянні з першим півріччям 2017 року (350 справ), 388 справ розглянуто у спрощеному  провадженні, 69 справ розглянуто під час підготовчого провадження, 757 справ розглянуто у порядку письмового провадження, 221 справу розглянуто без </w:t>
      </w:r>
      <w:r w:rsidRPr="00EE5044">
        <w:rPr>
          <w:rFonts w:ascii="Times New Roman" w:hAnsi="Times New Roman"/>
          <w:sz w:val="24"/>
          <w:szCs w:val="24"/>
          <w:lang w:val="uk-UA" w:eastAsia="en-US"/>
        </w:rPr>
        <w:t>фіксування судового засідання</w:t>
      </w:r>
      <w:r w:rsidRPr="00EE5044">
        <w:rPr>
          <w:rFonts w:ascii="Times New Roman" w:hAnsi="Times New Roman"/>
          <w:sz w:val="24"/>
          <w:szCs w:val="24"/>
          <w:lang w:val="uk-UA"/>
        </w:rPr>
        <w:t>.</w:t>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b/>
          <w:sz w:val="24"/>
          <w:szCs w:val="24"/>
          <w:lang w:val="uk-UA"/>
        </w:rPr>
        <w:t>3</w:t>
      </w:r>
      <w:r w:rsidRPr="00EE5044">
        <w:rPr>
          <w:rFonts w:ascii="Times New Roman" w:hAnsi="Times New Roman"/>
          <w:sz w:val="24"/>
          <w:szCs w:val="24"/>
          <w:lang w:val="uk-UA"/>
        </w:rPr>
        <w:t xml:space="preserve"> адміністративні справи розглянуті з порушенням строку, передбаченого КАС України, що становить </w:t>
      </w:r>
      <w:r w:rsidRPr="00EE5044">
        <w:rPr>
          <w:rFonts w:ascii="Times New Roman" w:hAnsi="Times New Roman"/>
          <w:b/>
          <w:sz w:val="24"/>
          <w:szCs w:val="24"/>
          <w:lang w:val="uk-UA"/>
        </w:rPr>
        <w:t>0,2</w:t>
      </w:r>
      <w:r w:rsidRPr="00EE5044">
        <w:rPr>
          <w:rFonts w:ascii="Times New Roman" w:hAnsi="Times New Roman"/>
          <w:sz w:val="24"/>
          <w:szCs w:val="24"/>
          <w:lang w:val="uk-UA"/>
        </w:rPr>
        <w:t xml:space="preserve">% від кількості справ, розглянутих у звітному періоді. Даний показник на </w:t>
      </w:r>
      <w:r w:rsidRPr="00EE5044">
        <w:rPr>
          <w:rFonts w:ascii="Times New Roman" w:hAnsi="Times New Roman"/>
          <w:b/>
          <w:sz w:val="24"/>
          <w:szCs w:val="24"/>
          <w:lang w:val="uk-UA"/>
        </w:rPr>
        <w:t>98,6%</w:t>
      </w:r>
      <w:r w:rsidRPr="00EE5044">
        <w:rPr>
          <w:rFonts w:ascii="Times New Roman" w:hAnsi="Times New Roman"/>
          <w:sz w:val="24"/>
          <w:szCs w:val="24"/>
          <w:lang w:val="uk-UA"/>
        </w:rPr>
        <w:t xml:space="preserve"> менше відповідного показника 2017 року (</w:t>
      </w:r>
      <w:r w:rsidRPr="00EE5044">
        <w:rPr>
          <w:rFonts w:ascii="Times New Roman" w:hAnsi="Times New Roman"/>
          <w:b/>
          <w:sz w:val="24"/>
          <w:szCs w:val="24"/>
          <w:lang w:val="uk-UA"/>
        </w:rPr>
        <w:t>220</w:t>
      </w:r>
      <w:r w:rsidRPr="00EE5044">
        <w:rPr>
          <w:rFonts w:ascii="Times New Roman" w:hAnsi="Times New Roman"/>
          <w:sz w:val="24"/>
          <w:szCs w:val="24"/>
          <w:lang w:val="uk-UA"/>
        </w:rPr>
        <w:t xml:space="preserve"> справ).</w:t>
      </w:r>
    </w:p>
    <w:p w:rsidR="002C57B5" w:rsidRPr="00EE5044" w:rsidRDefault="002C57B5" w:rsidP="002C57B5">
      <w:pPr>
        <w:spacing w:after="0" w:line="240" w:lineRule="auto"/>
        <w:ind w:firstLine="709"/>
        <w:jc w:val="both"/>
        <w:rPr>
          <w:rFonts w:ascii="Times New Roman" w:hAnsi="Times New Roman"/>
          <w:sz w:val="24"/>
          <w:szCs w:val="24"/>
          <w:shd w:val="clear" w:color="auto" w:fill="FFFFFF"/>
          <w:lang w:val="uk-UA"/>
        </w:rPr>
      </w:pPr>
    </w:p>
    <w:p w:rsidR="002C57B5" w:rsidRPr="00EE5044" w:rsidRDefault="002C57B5" w:rsidP="002C57B5">
      <w:pPr>
        <w:spacing w:after="0" w:line="240" w:lineRule="auto"/>
        <w:ind w:firstLine="709"/>
        <w:jc w:val="both"/>
        <w:rPr>
          <w:rFonts w:ascii="Times New Roman" w:hAnsi="Times New Roman"/>
          <w:sz w:val="24"/>
          <w:szCs w:val="24"/>
          <w:shd w:val="clear" w:color="auto" w:fill="FFFFFF"/>
          <w:lang w:val="uk-UA"/>
        </w:rPr>
      </w:pPr>
      <w:r w:rsidRPr="00EE5044">
        <w:rPr>
          <w:rFonts w:ascii="Times New Roman" w:hAnsi="Times New Roman"/>
          <w:sz w:val="24"/>
          <w:szCs w:val="24"/>
          <w:lang w:val="uk-UA"/>
        </w:rPr>
        <w:t xml:space="preserve">На підставі Інформаційної довідки про основні показники здійснення судочинства Запорізьким окружним адміністративним судом середньомісячний </w:t>
      </w:r>
      <w:r w:rsidRPr="00EE5044">
        <w:rPr>
          <w:rFonts w:ascii="Times New Roman" w:hAnsi="Times New Roman"/>
          <w:sz w:val="24"/>
          <w:szCs w:val="24"/>
          <w:shd w:val="clear" w:color="auto" w:fill="FFFFFF"/>
          <w:lang w:val="uk-UA"/>
        </w:rPr>
        <w:t xml:space="preserve">показник розгляду суддею </w:t>
      </w:r>
      <w:r w:rsidRPr="00EE5044">
        <w:rPr>
          <w:rFonts w:ascii="Times New Roman" w:hAnsi="Times New Roman"/>
          <w:sz w:val="24"/>
          <w:szCs w:val="24"/>
          <w:lang w:val="uk-UA"/>
        </w:rPr>
        <w:t xml:space="preserve">справ та матеріалів становить </w:t>
      </w:r>
      <w:r w:rsidRPr="00EE5044">
        <w:rPr>
          <w:rFonts w:ascii="Times New Roman" w:hAnsi="Times New Roman"/>
          <w:b/>
          <w:sz w:val="24"/>
          <w:szCs w:val="24"/>
          <w:shd w:val="clear" w:color="auto" w:fill="FFFFFF"/>
          <w:lang w:val="uk-UA"/>
        </w:rPr>
        <w:t>76</w:t>
      </w:r>
      <w:r w:rsidRPr="00EE5044">
        <w:rPr>
          <w:rFonts w:ascii="Times New Roman" w:hAnsi="Times New Roman"/>
          <w:sz w:val="24"/>
          <w:szCs w:val="24"/>
          <w:shd w:val="clear" w:color="auto" w:fill="FFFFFF"/>
          <w:lang w:val="uk-UA"/>
        </w:rPr>
        <w:t>, що на 49% більше, ніж у відповідному періоді 2017 року (51).</w:t>
      </w:r>
    </w:p>
    <w:p w:rsidR="002C57B5" w:rsidRPr="00EE5044" w:rsidRDefault="002C57B5" w:rsidP="002C57B5">
      <w:pPr>
        <w:spacing w:after="0" w:line="240" w:lineRule="auto"/>
        <w:ind w:firstLine="709"/>
        <w:jc w:val="both"/>
        <w:rPr>
          <w:rFonts w:ascii="Times New Roman" w:hAnsi="Times New Roman"/>
          <w:sz w:val="24"/>
          <w:szCs w:val="24"/>
          <w:lang w:val="uk-UA"/>
        </w:rPr>
      </w:pPr>
    </w:p>
    <w:p w:rsidR="002C57B5" w:rsidRPr="00EE5044" w:rsidRDefault="002C57B5" w:rsidP="002C57B5">
      <w:pPr>
        <w:shd w:val="clear" w:color="auto" w:fill="FFFFFF"/>
        <w:spacing w:after="0" w:line="240" w:lineRule="auto"/>
        <w:ind w:firstLine="709"/>
        <w:jc w:val="both"/>
        <w:rPr>
          <w:rFonts w:ascii="Times New Roman" w:hAnsi="Times New Roman"/>
          <w:sz w:val="24"/>
          <w:szCs w:val="24"/>
          <w:lang w:val="uk-UA" w:eastAsia="uk-UA"/>
        </w:rPr>
      </w:pPr>
      <w:r w:rsidRPr="00EE5044">
        <w:rPr>
          <w:rFonts w:ascii="Times New Roman" w:hAnsi="Times New Roman"/>
          <w:sz w:val="24"/>
          <w:szCs w:val="24"/>
          <w:lang w:val="uk-UA"/>
        </w:rPr>
        <w:t>Згідно з Базовими показниками роботи суду с</w:t>
      </w:r>
      <w:r w:rsidRPr="00EE5044">
        <w:rPr>
          <w:rFonts w:ascii="Times New Roman" w:hAnsi="Times New Roman"/>
          <w:sz w:val="24"/>
          <w:szCs w:val="24"/>
          <w:lang w:val="uk-UA" w:eastAsia="uk-UA"/>
        </w:rPr>
        <w:t>ередня кількість розглянутих справ та матеріалів в звітному періоді в розрахунку на одного суддю становить 296 справ та матеріалів,</w:t>
      </w:r>
      <w:r w:rsidRPr="00EE5044">
        <w:rPr>
          <w:rFonts w:ascii="Times New Roman" w:hAnsi="Times New Roman"/>
          <w:sz w:val="24"/>
          <w:szCs w:val="24"/>
          <w:lang w:val="uk-UA"/>
        </w:rPr>
        <w:t xml:space="preserve"> що на 29,8% більше  у порівнянні з першим півріччям 2017 року (228)</w:t>
      </w:r>
      <w:r w:rsidRPr="00EE5044">
        <w:rPr>
          <w:rFonts w:ascii="Times New Roman" w:hAnsi="Times New Roman"/>
          <w:sz w:val="24"/>
          <w:szCs w:val="24"/>
          <w:lang w:val="uk-UA" w:eastAsia="uk-UA"/>
        </w:rPr>
        <w:t xml:space="preserve">. </w:t>
      </w:r>
    </w:p>
    <w:p w:rsidR="002C57B5" w:rsidRPr="00EE5044" w:rsidRDefault="002C57B5" w:rsidP="002C57B5">
      <w:pPr>
        <w:spacing w:after="0" w:line="240" w:lineRule="auto"/>
        <w:ind w:firstLine="709"/>
        <w:jc w:val="both"/>
        <w:rPr>
          <w:rFonts w:ascii="Times New Roman" w:hAnsi="Times New Roman"/>
          <w:sz w:val="24"/>
          <w:szCs w:val="24"/>
          <w:lang w:val="uk-UA"/>
        </w:rPr>
      </w:pPr>
      <w:r w:rsidRPr="00EE5044">
        <w:rPr>
          <w:rFonts w:ascii="Times New Roman" w:hAnsi="Times New Roman"/>
          <w:sz w:val="24"/>
          <w:szCs w:val="24"/>
          <w:lang w:val="uk-UA"/>
        </w:rPr>
        <w:t>Різниця в показниках обумовлена різними формами обрахунку даних.</w:t>
      </w:r>
    </w:p>
    <w:p w:rsidR="002C57B5" w:rsidRPr="00EE5044" w:rsidRDefault="002C57B5" w:rsidP="002C57B5">
      <w:pPr>
        <w:spacing w:after="0" w:line="240" w:lineRule="auto"/>
        <w:ind w:firstLine="709"/>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Визначення категорій адміністративних справ у першому півріччі 2018 року проводилося згідно з Класифікатором категорій адміністративних справ, затвердженим рішенням Ради суддів адміністративних судів України від 31.10.2013 № 114. </w:t>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У першому півріччі 2018 року в провадженні Запорізького окружного адміністративного суду були справи наступних категорій:</w:t>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395"/>
        <w:gridCol w:w="992"/>
        <w:gridCol w:w="1134"/>
        <w:gridCol w:w="1701"/>
        <w:gridCol w:w="709"/>
      </w:tblGrid>
      <w:tr w:rsidR="002C57B5" w:rsidRPr="00EE5044" w:rsidTr="00137A77">
        <w:trPr>
          <w:trHeight w:val="470"/>
        </w:trPr>
        <w:tc>
          <w:tcPr>
            <w:tcW w:w="675" w:type="dxa"/>
            <w:vMerge w:val="restart"/>
            <w:shd w:val="clear" w:color="auto" w:fill="auto"/>
            <w:textDirection w:val="btLr"/>
            <w:vAlign w:val="center"/>
          </w:tcPr>
          <w:p w:rsidR="002C57B5" w:rsidRPr="00EE5044" w:rsidRDefault="002C57B5" w:rsidP="00137A77">
            <w:pPr>
              <w:spacing w:after="0" w:line="240" w:lineRule="auto"/>
              <w:ind w:left="113" w:right="113"/>
              <w:jc w:val="center"/>
              <w:rPr>
                <w:rFonts w:ascii="Times New Roman" w:hAnsi="Times New Roman"/>
                <w:b/>
                <w:sz w:val="24"/>
                <w:szCs w:val="24"/>
                <w:lang w:val="uk-UA"/>
              </w:rPr>
            </w:pPr>
            <w:r w:rsidRPr="00EE5044">
              <w:rPr>
                <w:rFonts w:ascii="Times New Roman" w:hAnsi="Times New Roman"/>
                <w:b/>
                <w:sz w:val="24"/>
                <w:szCs w:val="24"/>
                <w:lang w:val="uk-UA"/>
              </w:rPr>
              <w:t>№ рядка класифікатора</w:t>
            </w:r>
          </w:p>
        </w:tc>
        <w:tc>
          <w:tcPr>
            <w:tcW w:w="4395" w:type="dxa"/>
            <w:vMerge w:val="restart"/>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Категорія</w:t>
            </w:r>
          </w:p>
        </w:tc>
        <w:tc>
          <w:tcPr>
            <w:tcW w:w="4536" w:type="dxa"/>
            <w:gridSpan w:val="4"/>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Кількість справ</w:t>
            </w:r>
          </w:p>
        </w:tc>
      </w:tr>
      <w:tr w:rsidR="002C57B5" w:rsidRPr="00EE5044" w:rsidTr="00137A77">
        <w:trPr>
          <w:trHeight w:val="1452"/>
        </w:trPr>
        <w:tc>
          <w:tcPr>
            <w:tcW w:w="675" w:type="dxa"/>
            <w:vMerge/>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p>
        </w:tc>
        <w:tc>
          <w:tcPr>
            <w:tcW w:w="4395" w:type="dxa"/>
            <w:vMerge/>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0"/>
                <w:szCs w:val="20"/>
                <w:lang w:val="uk-UA"/>
              </w:rPr>
            </w:pPr>
            <w:r w:rsidRPr="00EE5044">
              <w:rPr>
                <w:rFonts w:ascii="Times New Roman" w:hAnsi="Times New Roman"/>
                <w:sz w:val="20"/>
                <w:szCs w:val="20"/>
                <w:lang w:val="uk-UA"/>
              </w:rPr>
              <w:t>Залишок на початок звітного періоду</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0"/>
                <w:szCs w:val="20"/>
                <w:lang w:val="uk-UA"/>
              </w:rPr>
            </w:pPr>
            <w:r w:rsidRPr="00EE5044">
              <w:rPr>
                <w:rFonts w:ascii="Times New Roman" w:hAnsi="Times New Roman"/>
                <w:sz w:val="20"/>
                <w:szCs w:val="20"/>
                <w:lang w:val="uk-UA"/>
              </w:rPr>
              <w:t>Надійшло у звітному періоді</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sz w:val="20"/>
                <w:szCs w:val="20"/>
                <w:lang w:val="uk-UA"/>
              </w:rPr>
            </w:pPr>
            <w:r w:rsidRPr="00EE5044">
              <w:rPr>
                <w:rFonts w:ascii="Times New Roman" w:hAnsi="Times New Roman"/>
                <w:sz w:val="20"/>
                <w:szCs w:val="20"/>
                <w:lang w:val="uk-UA"/>
              </w:rPr>
              <w:t>% від загальної кількості справ, що надійшли у звітному періоді</w:t>
            </w:r>
          </w:p>
          <w:p w:rsidR="002C57B5" w:rsidRPr="00EE5044" w:rsidRDefault="002C57B5" w:rsidP="00137A77">
            <w:pPr>
              <w:spacing w:after="0" w:line="240" w:lineRule="auto"/>
              <w:jc w:val="center"/>
              <w:rPr>
                <w:rFonts w:ascii="Times New Roman" w:hAnsi="Times New Roman"/>
                <w:sz w:val="20"/>
                <w:szCs w:val="20"/>
                <w:lang w:val="uk-UA"/>
              </w:rPr>
            </w:pPr>
            <w:r w:rsidRPr="00EE5044">
              <w:rPr>
                <w:rFonts w:ascii="Times New Roman" w:hAnsi="Times New Roman"/>
                <w:b/>
                <w:sz w:val="20"/>
                <w:szCs w:val="20"/>
                <w:lang w:val="uk-UA"/>
              </w:rPr>
              <w:t>2086</w:t>
            </w:r>
            <w:r w:rsidRPr="00EE5044">
              <w:rPr>
                <w:rFonts w:ascii="Times New Roman" w:hAnsi="Times New Roman"/>
                <w:sz w:val="20"/>
                <w:szCs w:val="20"/>
                <w:lang w:val="uk-UA"/>
              </w:rPr>
              <w:t xml:space="preserve"> справ</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sz w:val="20"/>
                <w:szCs w:val="20"/>
                <w:lang w:val="uk-UA"/>
              </w:rPr>
            </w:pPr>
            <w:r w:rsidRPr="00EE5044">
              <w:rPr>
                <w:rFonts w:ascii="Times New Roman" w:hAnsi="Times New Roman"/>
                <w:sz w:val="20"/>
                <w:szCs w:val="20"/>
                <w:lang w:val="uk-UA"/>
              </w:rPr>
              <w:t>Всього</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w:t>
            </w:r>
          </w:p>
        </w:tc>
        <w:tc>
          <w:tcPr>
            <w:tcW w:w="4395" w:type="dxa"/>
            <w:shd w:val="clear" w:color="auto" w:fill="auto"/>
          </w:tcPr>
          <w:p w:rsidR="002C57B5" w:rsidRPr="00EE5044" w:rsidRDefault="002C57B5" w:rsidP="00137A77">
            <w:pPr>
              <w:spacing w:after="0" w:line="240" w:lineRule="auto"/>
              <w:rPr>
                <w:rFonts w:ascii="Times New Roman" w:hAnsi="Times New Roman"/>
                <w:sz w:val="24"/>
                <w:szCs w:val="24"/>
                <w:lang w:val="uk-UA"/>
              </w:rPr>
            </w:pPr>
            <w:r w:rsidRPr="00EE5044">
              <w:rPr>
                <w:rFonts w:ascii="Times New Roman" w:hAnsi="Times New Roman"/>
                <w:sz w:val="24"/>
                <w:szCs w:val="24"/>
                <w:lang w:val="uk-UA"/>
              </w:rPr>
              <w:t>Справи зі спорів з приводу забезпечення реалізації громадянами права голосу на виборах і референдумах</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0</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0,19</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4</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2</w:t>
            </w:r>
          </w:p>
        </w:tc>
        <w:tc>
          <w:tcPr>
            <w:tcW w:w="4395" w:type="dxa"/>
            <w:shd w:val="clear" w:color="auto" w:fill="auto"/>
          </w:tcPr>
          <w:p w:rsidR="002C57B5" w:rsidRPr="00EE5044" w:rsidRDefault="002C57B5" w:rsidP="00137A77">
            <w:pPr>
              <w:spacing w:after="0" w:line="240" w:lineRule="auto"/>
              <w:rPr>
                <w:rFonts w:ascii="Times New Roman" w:hAnsi="Times New Roman"/>
                <w:sz w:val="24"/>
                <w:szCs w:val="24"/>
                <w:lang w:val="uk-UA"/>
              </w:rPr>
            </w:pPr>
            <w:r w:rsidRPr="00EE5044">
              <w:rPr>
                <w:rFonts w:ascii="Times New Roman" w:hAnsi="Times New Roman"/>
                <w:sz w:val="24"/>
                <w:szCs w:val="24"/>
                <w:lang w:val="uk-UA"/>
              </w:rPr>
              <w:t xml:space="preserve">Спори з приводу забезпечення реалізації конституційних прав особи, а </w:t>
            </w:r>
            <w:r w:rsidRPr="00EE5044">
              <w:rPr>
                <w:rFonts w:ascii="Times New Roman" w:hAnsi="Times New Roman"/>
                <w:sz w:val="24"/>
                <w:szCs w:val="24"/>
                <w:lang w:val="uk-UA"/>
              </w:rPr>
              <w:lastRenderedPageBreak/>
              <w:t>також реалізації статусу депутата представницького органу влади, організації діяльності цих органів.</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lastRenderedPageBreak/>
              <w:t>6</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32</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1,53</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38</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3</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Спорів з приводу забезпечення громадського порядку та безпеки.</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63</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147</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7,04</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210</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w:t>
            </w:r>
          </w:p>
        </w:tc>
        <w:tc>
          <w:tcPr>
            <w:tcW w:w="4395" w:type="dxa"/>
            <w:shd w:val="clear" w:color="auto" w:fill="auto"/>
          </w:tcPr>
          <w:p w:rsidR="002C57B5" w:rsidRPr="00EE5044" w:rsidRDefault="002C57B5" w:rsidP="00137A77">
            <w:pPr>
              <w:spacing w:after="0" w:line="240" w:lineRule="auto"/>
              <w:rPr>
                <w:rFonts w:ascii="Times New Roman" w:hAnsi="Times New Roman"/>
                <w:sz w:val="24"/>
                <w:szCs w:val="24"/>
                <w:lang w:val="uk-UA"/>
              </w:rPr>
            </w:pPr>
            <w:r w:rsidRPr="00EE5044">
              <w:rPr>
                <w:rFonts w:ascii="Times New Roman" w:hAnsi="Times New Roman"/>
                <w:sz w:val="24"/>
                <w:szCs w:val="24"/>
                <w:lang w:val="uk-UA"/>
              </w:rPr>
              <w:t>Спори з приводу реалізації державної політики у сфері освіти, науки, культури та спорту.</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0</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0,19</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4</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5</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приводу реалізації державної політики у сфері економіки.</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44</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106</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5,08</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150</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6</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приводу забезпечення сталого розвитку населених пунктів та землекористування</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55</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95</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4,55</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150</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7</w:t>
            </w:r>
          </w:p>
        </w:tc>
        <w:tc>
          <w:tcPr>
            <w:tcW w:w="4395" w:type="dxa"/>
            <w:shd w:val="clear" w:color="auto" w:fill="auto"/>
          </w:tcPr>
          <w:p w:rsidR="002C57B5" w:rsidRPr="00EE5044" w:rsidRDefault="002C57B5" w:rsidP="00137A77">
            <w:pPr>
              <w:spacing w:after="0" w:line="240" w:lineRule="auto"/>
              <w:rPr>
                <w:rFonts w:ascii="Times New Roman" w:hAnsi="Times New Roman"/>
                <w:sz w:val="24"/>
                <w:szCs w:val="24"/>
                <w:lang w:val="uk-UA"/>
              </w:rPr>
            </w:pPr>
            <w:r w:rsidRPr="00EE5044">
              <w:rPr>
                <w:rFonts w:ascii="Times New Roman" w:hAnsi="Times New Roman"/>
                <w:sz w:val="24"/>
                <w:szCs w:val="24"/>
                <w:lang w:val="uk-UA"/>
              </w:rPr>
              <w:t>Спори з приводу охорони навколишнього природного середовища</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6</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0,19</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10</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8</w:t>
            </w:r>
          </w:p>
        </w:tc>
        <w:tc>
          <w:tcPr>
            <w:tcW w:w="4395" w:type="dxa"/>
            <w:shd w:val="clear" w:color="auto" w:fill="auto"/>
          </w:tcPr>
          <w:p w:rsidR="002C57B5" w:rsidRPr="00EE5044" w:rsidRDefault="002C57B5" w:rsidP="00137A77">
            <w:pPr>
              <w:spacing w:after="0" w:line="240" w:lineRule="auto"/>
              <w:rPr>
                <w:rFonts w:ascii="Times New Roman" w:hAnsi="Times New Roman"/>
                <w:sz w:val="24"/>
                <w:szCs w:val="24"/>
                <w:lang w:val="uk-UA"/>
              </w:rPr>
            </w:pPr>
            <w:r w:rsidRPr="00EE5044">
              <w:rPr>
                <w:rFonts w:ascii="Times New Roman" w:hAnsi="Times New Roman"/>
                <w:sz w:val="24"/>
                <w:szCs w:val="24"/>
                <w:lang w:val="uk-UA"/>
              </w:rPr>
              <w:t>Спори з приводу адміністрування податків, зборів, платежів, контроль за дотриманням вимог податкового законодавства</w:t>
            </w:r>
          </w:p>
          <w:p w:rsidR="002C57B5" w:rsidRPr="00EE5044" w:rsidRDefault="002C57B5" w:rsidP="00137A77">
            <w:pPr>
              <w:spacing w:after="0" w:line="240" w:lineRule="auto"/>
              <w:rPr>
                <w:rFonts w:ascii="Times New Roman" w:hAnsi="Times New Roman"/>
                <w:sz w:val="24"/>
                <w:szCs w:val="24"/>
                <w:lang w:val="uk-UA"/>
              </w:rPr>
            </w:pP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444</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657</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31,49</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1101</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9</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приводу реалізації публічної фінансової політики</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57</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55</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2,63</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112</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10</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приводу реалізації публічної політики у сферах праці, зайнятості населення та соціального захисту громадян</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169</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881</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42,23</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1050</w:t>
            </w:r>
          </w:p>
        </w:tc>
      </w:tr>
      <w:tr w:rsidR="002C57B5" w:rsidRPr="00EE5044" w:rsidTr="00137A77">
        <w:trPr>
          <w:trHeight w:val="365"/>
        </w:trPr>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11</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приводу забезпечення юстиції</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15</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47</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2,25</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62</w:t>
            </w:r>
          </w:p>
        </w:tc>
      </w:tr>
      <w:tr w:rsidR="002C57B5" w:rsidRPr="00EE5044" w:rsidTr="00137A77">
        <w:trPr>
          <w:trHeight w:val="355"/>
        </w:trPr>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12</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Спори з відносин публічної служби</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45</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54</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2,58</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99</w:t>
            </w:r>
          </w:p>
        </w:tc>
      </w:tr>
      <w:tr w:rsidR="002C57B5" w:rsidRPr="00EE5044" w:rsidTr="00137A77">
        <w:tc>
          <w:tcPr>
            <w:tcW w:w="675"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14</w:t>
            </w:r>
          </w:p>
        </w:tc>
        <w:tc>
          <w:tcPr>
            <w:tcW w:w="4395" w:type="dxa"/>
            <w:shd w:val="clear" w:color="auto" w:fill="auto"/>
          </w:tcPr>
          <w:p w:rsidR="002C57B5" w:rsidRPr="00EE5044" w:rsidRDefault="002C57B5" w:rsidP="00137A77">
            <w:p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Інші справи</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0</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sz w:val="24"/>
                <w:szCs w:val="24"/>
                <w:lang w:val="uk-UA"/>
              </w:rPr>
            </w:pPr>
            <w:r w:rsidRPr="00EE5044">
              <w:rPr>
                <w:rFonts w:ascii="Times New Roman" w:hAnsi="Times New Roman"/>
                <w:sz w:val="24"/>
                <w:szCs w:val="24"/>
                <w:lang w:val="uk-UA"/>
              </w:rPr>
              <w:t>0</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r w:rsidRPr="00EE5044">
              <w:rPr>
                <w:rFonts w:ascii="Times New Roman" w:hAnsi="Times New Roman"/>
                <w:i/>
                <w:sz w:val="24"/>
                <w:szCs w:val="24"/>
                <w:lang w:val="uk-UA"/>
              </w:rPr>
              <w:t>0</w:t>
            </w: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0</w:t>
            </w:r>
          </w:p>
        </w:tc>
      </w:tr>
      <w:tr w:rsidR="002C57B5" w:rsidRPr="00EE5044" w:rsidTr="00137A77">
        <w:trPr>
          <w:trHeight w:val="632"/>
        </w:trPr>
        <w:tc>
          <w:tcPr>
            <w:tcW w:w="5070" w:type="dxa"/>
            <w:gridSpan w:val="2"/>
            <w:shd w:val="clear" w:color="auto" w:fill="auto"/>
            <w:vAlign w:val="center"/>
          </w:tcPr>
          <w:p w:rsidR="002C57B5" w:rsidRPr="00EE5044" w:rsidRDefault="002C57B5" w:rsidP="00137A77">
            <w:pPr>
              <w:spacing w:after="0" w:line="240" w:lineRule="auto"/>
              <w:jc w:val="both"/>
              <w:rPr>
                <w:rFonts w:ascii="Times New Roman" w:hAnsi="Times New Roman"/>
                <w:b/>
                <w:sz w:val="24"/>
                <w:szCs w:val="24"/>
                <w:lang w:val="uk-UA"/>
              </w:rPr>
            </w:pPr>
            <w:r w:rsidRPr="00EE5044">
              <w:rPr>
                <w:rFonts w:ascii="Times New Roman" w:hAnsi="Times New Roman"/>
                <w:b/>
                <w:sz w:val="24"/>
                <w:szCs w:val="24"/>
                <w:lang w:val="uk-UA"/>
              </w:rPr>
              <w:t>Всього:</w:t>
            </w:r>
          </w:p>
        </w:tc>
        <w:tc>
          <w:tcPr>
            <w:tcW w:w="992"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904</w:t>
            </w:r>
          </w:p>
        </w:tc>
        <w:tc>
          <w:tcPr>
            <w:tcW w:w="1134"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2086</w:t>
            </w:r>
          </w:p>
        </w:tc>
        <w:tc>
          <w:tcPr>
            <w:tcW w:w="1701" w:type="dxa"/>
            <w:shd w:val="clear" w:color="auto" w:fill="auto"/>
            <w:vAlign w:val="center"/>
          </w:tcPr>
          <w:p w:rsidR="002C57B5" w:rsidRPr="00EE5044" w:rsidRDefault="002C57B5" w:rsidP="00137A77">
            <w:pPr>
              <w:spacing w:after="0" w:line="240" w:lineRule="auto"/>
              <w:jc w:val="center"/>
              <w:rPr>
                <w:rFonts w:ascii="Times New Roman" w:hAnsi="Times New Roman"/>
                <w:i/>
                <w:sz w:val="24"/>
                <w:szCs w:val="24"/>
                <w:lang w:val="uk-UA"/>
              </w:rPr>
            </w:pPr>
          </w:p>
        </w:tc>
        <w:tc>
          <w:tcPr>
            <w:tcW w:w="709" w:type="dxa"/>
            <w:shd w:val="clear" w:color="auto" w:fill="auto"/>
            <w:vAlign w:val="center"/>
          </w:tcPr>
          <w:p w:rsidR="002C57B5" w:rsidRPr="00EE5044" w:rsidRDefault="002C57B5" w:rsidP="00137A77">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2990</w:t>
            </w:r>
          </w:p>
        </w:tc>
      </w:tr>
    </w:tbl>
    <w:p w:rsidR="002C57B5" w:rsidRPr="00EE5044" w:rsidRDefault="002C57B5" w:rsidP="002C57B5">
      <w:pPr>
        <w:shd w:val="clear" w:color="auto" w:fill="FFFFFF"/>
        <w:spacing w:after="0" w:line="240" w:lineRule="auto"/>
        <w:ind w:firstLine="708"/>
        <w:jc w:val="both"/>
        <w:rPr>
          <w:rFonts w:ascii="Times New Roman" w:hAnsi="Times New Roman"/>
          <w:sz w:val="24"/>
          <w:szCs w:val="24"/>
          <w:lang w:val="uk-UA"/>
        </w:rPr>
      </w:pPr>
    </w:p>
    <w:p w:rsidR="002C57B5" w:rsidRPr="00EE5044" w:rsidRDefault="002C57B5" w:rsidP="002C57B5">
      <w:pPr>
        <w:shd w:val="clear" w:color="auto" w:fill="FFFFFF"/>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Слід зазначити, що в порівняні з минулим роком збільшився показник надходження справ на </w:t>
      </w:r>
      <w:r w:rsidRPr="00EE5044">
        <w:rPr>
          <w:rFonts w:ascii="Times New Roman" w:hAnsi="Times New Roman"/>
          <w:b/>
          <w:sz w:val="24"/>
          <w:szCs w:val="24"/>
          <w:lang w:val="uk-UA"/>
        </w:rPr>
        <w:t>14,2 %</w:t>
      </w:r>
      <w:r w:rsidRPr="00EE5044">
        <w:rPr>
          <w:rFonts w:ascii="Times New Roman" w:hAnsi="Times New Roman"/>
          <w:sz w:val="24"/>
          <w:szCs w:val="24"/>
          <w:lang w:val="uk-UA"/>
        </w:rPr>
        <w:t>.</w:t>
      </w:r>
    </w:p>
    <w:p w:rsidR="002C57B5" w:rsidRPr="00EE5044" w:rsidRDefault="002C57B5" w:rsidP="002C57B5">
      <w:pPr>
        <w:spacing w:after="0" w:line="240" w:lineRule="auto"/>
        <w:ind w:firstLine="630"/>
        <w:jc w:val="both"/>
        <w:rPr>
          <w:rFonts w:ascii="Times New Roman" w:hAnsi="Times New Roman"/>
          <w:sz w:val="24"/>
          <w:szCs w:val="24"/>
          <w:lang w:val="uk-UA" w:eastAsia="en-US"/>
        </w:rPr>
      </w:pPr>
      <w:r w:rsidRPr="00EE5044">
        <w:rPr>
          <w:rFonts w:ascii="Times New Roman" w:hAnsi="Times New Roman"/>
          <w:sz w:val="24"/>
          <w:szCs w:val="24"/>
          <w:lang w:val="uk-UA"/>
        </w:rPr>
        <w:t xml:space="preserve"> При цьому варто звернути увагу, що збільшення показника надходження позовних заяв протягом звітного періоду відбулося внаслідок того, що </w:t>
      </w:r>
      <w:r w:rsidRPr="00EE5044">
        <w:rPr>
          <w:rFonts w:ascii="Times New Roman" w:hAnsi="Times New Roman"/>
          <w:sz w:val="24"/>
          <w:szCs w:val="24"/>
          <w:lang w:val="uk-UA" w:eastAsia="en-US"/>
        </w:rPr>
        <w:t xml:space="preserve">15.12.2017 набули чинності зміни до КАС України, запроваджені Законом України від 03.10.2017 №2147-VII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яким КАС України викладено в новій редакції. </w:t>
      </w:r>
    </w:p>
    <w:p w:rsidR="002C57B5" w:rsidRPr="00EE5044" w:rsidRDefault="002C57B5" w:rsidP="002C57B5">
      <w:pPr>
        <w:spacing w:after="0" w:line="240" w:lineRule="auto"/>
        <w:ind w:firstLine="708"/>
        <w:jc w:val="both"/>
        <w:rPr>
          <w:rFonts w:ascii="Times New Roman" w:hAnsi="Times New Roman"/>
          <w:sz w:val="24"/>
          <w:szCs w:val="24"/>
          <w:lang w:val="uk-UA" w:eastAsia="en-US"/>
        </w:rPr>
      </w:pPr>
      <w:r w:rsidRPr="00EE5044">
        <w:rPr>
          <w:rFonts w:ascii="Times New Roman" w:hAnsi="Times New Roman"/>
          <w:sz w:val="24"/>
          <w:szCs w:val="24"/>
          <w:lang w:val="uk-UA" w:eastAsia="en-US"/>
        </w:rPr>
        <w:t xml:space="preserve">Відповідно до ст.20 КАС України збільшився обсяг справ, які відносяться до юрисдикції адміністративних судів. </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eastAsia="en-US"/>
        </w:rPr>
        <w:t xml:space="preserve">Так, до Запорізького окружного адміністративного суду надійшла 881 адміністративна справа зі спорів щодо </w:t>
      </w:r>
      <w:r w:rsidRPr="00EE5044">
        <w:rPr>
          <w:rStyle w:val="rvts0"/>
          <w:rFonts w:ascii="Times New Roman" w:hAnsi="Times New Roman"/>
          <w:sz w:val="24"/>
          <w:szCs w:val="24"/>
          <w:lang w:val="uk-UA"/>
        </w:rPr>
        <w:t>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Данна категорія справ</w:t>
      </w:r>
      <w:r w:rsidRPr="00EE5044">
        <w:rPr>
          <w:rFonts w:ascii="Times New Roman" w:hAnsi="Times New Roman"/>
          <w:sz w:val="24"/>
          <w:szCs w:val="24"/>
          <w:lang w:val="uk-UA"/>
        </w:rPr>
        <w:t xml:space="preserve"> становить 42,2% від загальної кількості справ, що надійшли до суду у звітному періоді. </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Style w:val="rvts0"/>
          <w:rFonts w:ascii="Times New Roman" w:hAnsi="Times New Roman"/>
          <w:sz w:val="24"/>
          <w:szCs w:val="24"/>
          <w:lang w:val="uk-UA"/>
        </w:rPr>
        <w:lastRenderedPageBreak/>
        <w:t xml:space="preserve">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становить 4,7% </w:t>
      </w:r>
      <w:r w:rsidRPr="00EE5044">
        <w:rPr>
          <w:rFonts w:ascii="Times New Roman" w:hAnsi="Times New Roman"/>
          <w:sz w:val="24"/>
          <w:szCs w:val="24"/>
          <w:lang w:val="uk-UA"/>
        </w:rPr>
        <w:t xml:space="preserve">від загальної кількості справ, що надійшли до суду у звітному періоді (99 справ). </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Таким чином, вищезазначені категорії адміністративних справ становлять 46,9% від загальної кількості справ, що надійшли до суду у звітному періоді.</w:t>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Також протягом першого півріччя 2018 року до суду надійшло 657 адміністративних справ з приводу адміністрування податків, платежів, контролю за дотриманням вимог податкового законодавства, що становить 31,5% від загальної кількості справ, що надійшли до суду у звітному періоді.</w:t>
      </w:r>
    </w:p>
    <w:p w:rsidR="002C57B5" w:rsidRPr="00EE5044" w:rsidRDefault="002C57B5" w:rsidP="002C57B5">
      <w:pPr>
        <w:spacing w:after="0" w:line="240" w:lineRule="auto"/>
        <w:ind w:firstLine="708"/>
        <w:jc w:val="both"/>
        <w:rPr>
          <w:rFonts w:ascii="Times New Roman" w:hAnsi="Times New Roman"/>
          <w:sz w:val="24"/>
          <w:szCs w:val="24"/>
          <w:lang w:val="uk-UA"/>
        </w:rPr>
      </w:pPr>
    </w:p>
    <w:p w:rsidR="002C57B5" w:rsidRPr="00EE5044" w:rsidRDefault="002C57B5" w:rsidP="002C57B5">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 xml:space="preserve">Розгляд заяв </w:t>
      </w:r>
    </w:p>
    <w:p w:rsidR="002C57B5" w:rsidRPr="00EE5044" w:rsidRDefault="002C57B5" w:rsidP="002C57B5">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про перегляд судових рішень за нововиявленими обставинами</w:t>
      </w:r>
    </w:p>
    <w:p w:rsidR="002C57B5" w:rsidRPr="00EE5044" w:rsidRDefault="002C57B5" w:rsidP="002C57B5">
      <w:pPr>
        <w:spacing w:after="0" w:line="240" w:lineRule="auto"/>
        <w:jc w:val="center"/>
        <w:rPr>
          <w:rFonts w:ascii="Times New Roman" w:hAnsi="Times New Roman"/>
          <w:b/>
          <w:sz w:val="24"/>
          <w:szCs w:val="24"/>
          <w:lang w:val="uk-UA"/>
        </w:rPr>
      </w:pP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Протягом першого півріччя 2018 року до суду було подано 4 заяви про перегляд судового рішення за нововиявленими обставинами. З урахуванням залишку нерозглянутих заяв про перегляд судових рішень за нововиявленими обставинами, в провадженні суду у звітному періоді перебувало 10 заяв, з яких 6 було розглянуто, а саме:</w:t>
      </w:r>
    </w:p>
    <w:p w:rsidR="002C57B5" w:rsidRPr="00EE5044" w:rsidRDefault="002C57B5" w:rsidP="002C57B5">
      <w:pPr>
        <w:numPr>
          <w:ilvl w:val="0"/>
          <w:numId w:val="1"/>
        </w:num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повернуто заявнику 1 заяву;</w:t>
      </w:r>
    </w:p>
    <w:p w:rsidR="002C57B5" w:rsidRPr="00EE5044" w:rsidRDefault="002C57B5" w:rsidP="002C57B5">
      <w:pPr>
        <w:numPr>
          <w:ilvl w:val="0"/>
          <w:numId w:val="1"/>
        </w:numPr>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задоволено 5 заяв;</w:t>
      </w:r>
    </w:p>
    <w:p w:rsidR="002C57B5" w:rsidRPr="00EE5044" w:rsidRDefault="002C57B5" w:rsidP="002C57B5">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Залишок нерозглянутих заяв на кінець звітного періоду складає 4 заяви.</w:t>
      </w:r>
    </w:p>
    <w:p w:rsidR="002C57B5" w:rsidRPr="00EE5044" w:rsidRDefault="002C57B5" w:rsidP="002C57B5">
      <w:pPr>
        <w:spacing w:after="0" w:line="240" w:lineRule="auto"/>
        <w:jc w:val="center"/>
        <w:rPr>
          <w:rFonts w:ascii="Times New Roman" w:hAnsi="Times New Roman"/>
          <w:b/>
          <w:sz w:val="24"/>
          <w:szCs w:val="24"/>
          <w:lang w:val="uk-UA"/>
        </w:rPr>
      </w:pPr>
    </w:p>
    <w:p w:rsidR="002C57B5" w:rsidRPr="00EE5044" w:rsidRDefault="002C57B5" w:rsidP="002C57B5">
      <w:pPr>
        <w:spacing w:after="0" w:line="240" w:lineRule="auto"/>
        <w:jc w:val="center"/>
        <w:rPr>
          <w:rFonts w:ascii="Times New Roman" w:hAnsi="Times New Roman"/>
          <w:b/>
          <w:sz w:val="24"/>
          <w:szCs w:val="24"/>
          <w:lang w:val="uk-UA"/>
        </w:rPr>
      </w:pPr>
      <w:r w:rsidRPr="00EE5044">
        <w:rPr>
          <w:rFonts w:ascii="Times New Roman" w:hAnsi="Times New Roman"/>
          <w:b/>
          <w:sz w:val="24"/>
          <w:szCs w:val="24"/>
          <w:lang w:val="uk-UA"/>
        </w:rPr>
        <w:t>Розгляд заяв, подань, клопотань</w:t>
      </w:r>
    </w:p>
    <w:p w:rsidR="002C57B5" w:rsidRPr="00EE5044" w:rsidRDefault="002C57B5" w:rsidP="002C57B5">
      <w:pPr>
        <w:spacing w:after="0" w:line="240" w:lineRule="auto"/>
        <w:jc w:val="center"/>
        <w:rPr>
          <w:rFonts w:ascii="Times New Roman" w:hAnsi="Times New Roman"/>
          <w:b/>
          <w:sz w:val="24"/>
          <w:szCs w:val="24"/>
          <w:lang w:val="uk-UA"/>
        </w:rPr>
      </w:pPr>
    </w:p>
    <w:p w:rsidR="002C57B5" w:rsidRPr="00EE5044" w:rsidRDefault="002C57B5" w:rsidP="002C57B5">
      <w:pPr>
        <w:tabs>
          <w:tab w:val="left" w:pos="993"/>
        </w:tabs>
        <w:spacing w:after="0" w:line="240" w:lineRule="auto"/>
        <w:ind w:right="-1" w:firstLine="720"/>
        <w:jc w:val="both"/>
        <w:rPr>
          <w:rFonts w:ascii="Times New Roman" w:hAnsi="Times New Roman"/>
          <w:sz w:val="24"/>
          <w:szCs w:val="24"/>
          <w:lang w:val="uk-UA"/>
        </w:rPr>
      </w:pPr>
      <w:r w:rsidRPr="00EE5044">
        <w:rPr>
          <w:rFonts w:ascii="Times New Roman" w:hAnsi="Times New Roman"/>
          <w:sz w:val="24"/>
          <w:szCs w:val="24"/>
          <w:lang w:val="uk-UA"/>
        </w:rPr>
        <w:t>У звітному періоді на розгляді в Запорізькому окружному адміністративному суді знаходилось 524 клопотання, подання, заяви у порядку виконання судових рішень, з яких 486 надійшли у першому півріччі 2018 року.</w:t>
      </w:r>
    </w:p>
    <w:p w:rsidR="002C57B5" w:rsidRPr="00EE5044" w:rsidRDefault="002C57B5" w:rsidP="002C57B5">
      <w:pPr>
        <w:tabs>
          <w:tab w:val="left" w:pos="993"/>
        </w:tabs>
        <w:spacing w:after="0" w:line="240" w:lineRule="auto"/>
        <w:ind w:right="-1" w:firstLine="720"/>
        <w:jc w:val="both"/>
        <w:rPr>
          <w:rFonts w:ascii="Times New Roman" w:hAnsi="Times New Roman"/>
          <w:b/>
          <w:bCs/>
          <w:sz w:val="26"/>
          <w:szCs w:val="26"/>
          <w:lang w:val="uk-UA"/>
        </w:rPr>
      </w:pPr>
      <w:r w:rsidRPr="00EE5044">
        <w:rPr>
          <w:rFonts w:ascii="Times New Roman" w:hAnsi="Times New Roman"/>
          <w:sz w:val="24"/>
          <w:szCs w:val="24"/>
          <w:lang w:val="uk-UA"/>
        </w:rPr>
        <w:t>Розглянуто 478 заяв, з яких 309 задоволено, 46 заяв не розглянуто на кінець звітного періоду</w:t>
      </w:r>
    </w:p>
    <w:p w:rsidR="002C57B5" w:rsidRPr="00EE5044" w:rsidRDefault="002C57B5" w:rsidP="002C57B5">
      <w:pPr>
        <w:shd w:val="clear" w:color="auto" w:fill="FFFFFF"/>
        <w:spacing w:before="100" w:beforeAutospacing="1" w:after="100" w:afterAutospacing="1" w:line="240" w:lineRule="auto"/>
        <w:ind w:left="360"/>
        <w:jc w:val="center"/>
        <w:rPr>
          <w:rFonts w:ascii="Times New Roman" w:hAnsi="Times New Roman"/>
          <w:sz w:val="24"/>
          <w:szCs w:val="24"/>
          <w:lang w:val="uk-UA"/>
        </w:rPr>
      </w:pPr>
      <w:r w:rsidRPr="00EE5044">
        <w:rPr>
          <w:rFonts w:ascii="Times New Roman" w:hAnsi="Times New Roman"/>
          <w:b/>
          <w:bCs/>
          <w:sz w:val="24"/>
          <w:szCs w:val="24"/>
          <w:lang w:val="uk-UA"/>
        </w:rPr>
        <w:t>Відомості щодо справляння, звільнення від сплати та повернення судового збору</w:t>
      </w:r>
    </w:p>
    <w:p w:rsidR="002C57B5" w:rsidRPr="00EE5044" w:rsidRDefault="002C57B5" w:rsidP="002C57B5">
      <w:pPr>
        <w:tabs>
          <w:tab w:val="left" w:pos="993"/>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 xml:space="preserve">            Сума судового збору, що сплачена добровільно згідно з вимогами Закону України «Про судовий збір» від 08.07.2011 N 3674-VII, у звітному періоді склала 11 262 991,00 грн., що на 32,5% більше, ніж у першому півріччі 2017 року (8 499 301,00 грн.).</w:t>
      </w:r>
    </w:p>
    <w:p w:rsidR="002C57B5" w:rsidRPr="00EE5044" w:rsidRDefault="002C57B5" w:rsidP="002C57B5">
      <w:pPr>
        <w:autoSpaceDE w:val="0"/>
        <w:autoSpaceDN w:val="0"/>
        <w:adjustRightInd w:val="0"/>
        <w:spacing w:after="0" w:line="240" w:lineRule="auto"/>
        <w:ind w:firstLine="750"/>
        <w:jc w:val="both"/>
        <w:rPr>
          <w:rFonts w:ascii="Times New Roman" w:hAnsi="Times New Roman"/>
          <w:sz w:val="24"/>
          <w:szCs w:val="24"/>
          <w:lang w:val="uk-UA"/>
        </w:rPr>
      </w:pPr>
      <w:r w:rsidRPr="00EE5044">
        <w:rPr>
          <w:rFonts w:ascii="Times New Roman" w:hAnsi="Times New Roman"/>
          <w:sz w:val="24"/>
          <w:szCs w:val="24"/>
          <w:lang w:val="uk-UA"/>
        </w:rPr>
        <w:t>Повернуто судового збору у звітному періоді на загальну суму  542 038,00 грн.</w:t>
      </w:r>
    </w:p>
    <w:p w:rsidR="002C57B5" w:rsidRPr="00EE5044" w:rsidRDefault="002C57B5" w:rsidP="002C57B5">
      <w:pPr>
        <w:autoSpaceDE w:val="0"/>
        <w:autoSpaceDN w:val="0"/>
        <w:adjustRightInd w:val="0"/>
        <w:spacing w:after="0" w:line="240" w:lineRule="auto"/>
        <w:ind w:firstLine="750"/>
        <w:jc w:val="both"/>
        <w:rPr>
          <w:rFonts w:ascii="Times New Roman" w:hAnsi="Times New Roman"/>
          <w:sz w:val="24"/>
          <w:szCs w:val="24"/>
          <w:lang w:val="uk-UA"/>
        </w:rPr>
      </w:pPr>
      <w:r w:rsidRPr="00EE5044">
        <w:rPr>
          <w:rFonts w:ascii="Times New Roman" w:hAnsi="Times New Roman"/>
          <w:sz w:val="24"/>
          <w:szCs w:val="24"/>
          <w:lang w:val="uk-UA"/>
        </w:rPr>
        <w:t>Присуджено до стягнення в державний бюджет  30 277,00 грн.</w:t>
      </w:r>
    </w:p>
    <w:p w:rsidR="002C57B5" w:rsidRPr="00EE5044" w:rsidRDefault="002C57B5" w:rsidP="002C57B5">
      <w:pPr>
        <w:tabs>
          <w:tab w:val="left" w:pos="993"/>
        </w:tabs>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 xml:space="preserve">Сума судового збору, що не сплачена внаслідок звільнення від сплати відповідно до чинного законодавства, складає 230 439,00 грн., що на 81,1% менше, ніж у першому півріччі 2017 року (1 793 880,00 грн.).  </w:t>
      </w:r>
    </w:p>
    <w:p w:rsidR="002C57B5" w:rsidRPr="00EE5044" w:rsidRDefault="002C57B5" w:rsidP="002C57B5">
      <w:pPr>
        <w:tabs>
          <w:tab w:val="left" w:pos="993"/>
        </w:tabs>
        <w:spacing w:after="0" w:line="240" w:lineRule="auto"/>
        <w:ind w:firstLine="720"/>
        <w:jc w:val="both"/>
        <w:rPr>
          <w:rFonts w:ascii="Times New Roman" w:hAnsi="Times New Roman"/>
          <w:sz w:val="24"/>
          <w:szCs w:val="24"/>
          <w:lang w:val="uk-UA"/>
        </w:rPr>
      </w:pPr>
    </w:p>
    <w:p w:rsidR="002C57B5" w:rsidRPr="00EE5044" w:rsidRDefault="002C57B5" w:rsidP="002C57B5">
      <w:pPr>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Із числа задоволених позовів присуджено до стягнення 30 990 777 грн.,  що на 68,9 % менше, ніж у першому півріччі 2017 року (99 920 387 грн.). Зменшення суми стягнення обумовлено тим, що значно зменшилась кількість надходження адміністративних справ щодо стягнення заборгованості з відшкодування фактичних витрат на виплату та доставку пільгових пенсій та справ про стягнення коштів за податковим боргом, а саме на 56,5% менше, ніж у першому півріччі 2017 року.</w:t>
      </w:r>
    </w:p>
    <w:p w:rsidR="00345FB0" w:rsidRDefault="00345FB0" w:rsidP="002C57B5">
      <w:pPr>
        <w:shd w:val="clear" w:color="auto" w:fill="FFFFFF"/>
        <w:spacing w:before="100" w:beforeAutospacing="1" w:after="100" w:afterAutospacing="1" w:line="240" w:lineRule="auto"/>
        <w:ind w:left="360"/>
        <w:jc w:val="center"/>
        <w:rPr>
          <w:rFonts w:ascii="Times New Roman" w:hAnsi="Times New Roman"/>
          <w:b/>
          <w:bCs/>
          <w:sz w:val="24"/>
          <w:szCs w:val="24"/>
          <w:lang w:val="uk-UA"/>
        </w:rPr>
      </w:pPr>
    </w:p>
    <w:p w:rsidR="00345FB0" w:rsidRDefault="00345FB0" w:rsidP="002C57B5">
      <w:pPr>
        <w:shd w:val="clear" w:color="auto" w:fill="FFFFFF"/>
        <w:spacing w:before="100" w:beforeAutospacing="1" w:after="100" w:afterAutospacing="1" w:line="240" w:lineRule="auto"/>
        <w:ind w:left="360"/>
        <w:jc w:val="center"/>
        <w:rPr>
          <w:rFonts w:ascii="Times New Roman" w:hAnsi="Times New Roman"/>
          <w:b/>
          <w:bCs/>
          <w:sz w:val="24"/>
          <w:szCs w:val="24"/>
          <w:lang w:val="uk-UA"/>
        </w:rPr>
      </w:pPr>
    </w:p>
    <w:p w:rsidR="002C57B5" w:rsidRPr="00EE5044" w:rsidRDefault="002C57B5" w:rsidP="002C57B5">
      <w:pPr>
        <w:shd w:val="clear" w:color="auto" w:fill="FFFFFF"/>
        <w:spacing w:before="100" w:beforeAutospacing="1" w:after="100" w:afterAutospacing="1" w:line="240" w:lineRule="auto"/>
        <w:ind w:left="360"/>
        <w:jc w:val="center"/>
        <w:rPr>
          <w:rFonts w:ascii="Times New Roman" w:hAnsi="Times New Roman"/>
          <w:b/>
          <w:sz w:val="24"/>
          <w:szCs w:val="24"/>
          <w:lang w:val="uk-UA"/>
        </w:rPr>
      </w:pPr>
      <w:r w:rsidRPr="00EE5044">
        <w:rPr>
          <w:rFonts w:ascii="Times New Roman" w:hAnsi="Times New Roman"/>
          <w:b/>
          <w:bCs/>
          <w:sz w:val="24"/>
          <w:szCs w:val="24"/>
          <w:lang w:val="uk-UA"/>
        </w:rPr>
        <w:lastRenderedPageBreak/>
        <w:t xml:space="preserve">Відомості щодо </w:t>
      </w:r>
      <w:r w:rsidRPr="00EE5044">
        <w:rPr>
          <w:rFonts w:ascii="Times New Roman" w:hAnsi="Times New Roman"/>
          <w:b/>
          <w:sz w:val="24"/>
          <w:szCs w:val="24"/>
          <w:lang w:val="uk-UA"/>
        </w:rPr>
        <w:t xml:space="preserve">перегляду судових рішень Дніпропетровським апеляційним адміністративним судом  </w:t>
      </w:r>
    </w:p>
    <w:p w:rsidR="002C57B5" w:rsidRPr="00EE5044" w:rsidRDefault="002C57B5" w:rsidP="002C57B5">
      <w:pPr>
        <w:spacing w:after="0" w:line="240" w:lineRule="auto"/>
        <w:ind w:firstLine="709"/>
        <w:jc w:val="both"/>
        <w:rPr>
          <w:rFonts w:ascii="Times New Roman" w:hAnsi="Times New Roman"/>
          <w:sz w:val="24"/>
          <w:szCs w:val="24"/>
          <w:lang w:val="uk-UA"/>
        </w:rPr>
      </w:pPr>
      <w:r w:rsidRPr="00EE5044">
        <w:rPr>
          <w:rFonts w:ascii="Times New Roman" w:hAnsi="Times New Roman"/>
          <w:sz w:val="24"/>
          <w:szCs w:val="24"/>
          <w:lang w:val="uk-UA"/>
        </w:rPr>
        <w:t>Протягом першого півріччя 2018 року до Дніпропетровського апеляційного адміністративного суду направлено 1009 адміністративних справ, переглянуто в апеляційному порядку та повернуто до суду першої інстанції 786 адміністративних справ, з яких:</w:t>
      </w:r>
    </w:p>
    <w:p w:rsidR="002C57B5" w:rsidRPr="00EE5044" w:rsidRDefault="002C57B5" w:rsidP="002C57B5">
      <w:pPr>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1) 671 судове рішення залишено без змін, що складає 85,3% від справ, які надійшли до суду після перегляду Дніпропетровським апеляційним адміністративним судом, з яких:</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w:t>
      </w:r>
      <w:r w:rsidRPr="00EE5044">
        <w:rPr>
          <w:rFonts w:ascii="Times New Roman" w:hAnsi="Times New Roman"/>
          <w:sz w:val="24"/>
          <w:szCs w:val="24"/>
          <w:lang w:val="uk-UA"/>
        </w:rPr>
        <w:tab/>
        <w:t>залишено без задоволення 419 апеляційних скарг;</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w:t>
      </w:r>
      <w:r w:rsidRPr="00EE5044">
        <w:rPr>
          <w:rFonts w:ascii="Times New Roman" w:hAnsi="Times New Roman"/>
          <w:sz w:val="24"/>
          <w:szCs w:val="24"/>
          <w:lang w:val="uk-UA"/>
        </w:rPr>
        <w:tab/>
        <w:t>повернуто заявнику 181 апеляційна скарга;</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w:t>
      </w:r>
      <w:r w:rsidRPr="00EE5044">
        <w:rPr>
          <w:rFonts w:ascii="Times New Roman" w:hAnsi="Times New Roman"/>
          <w:sz w:val="24"/>
          <w:szCs w:val="24"/>
          <w:lang w:val="uk-UA"/>
        </w:rPr>
        <w:tab/>
        <w:t>відмовлено у відкритті провадження за 70 апеляційними скаргами;</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   закрито апеляційних проваджень по 1 апеляційній скарзі;</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ab/>
      </w:r>
      <w:r w:rsidRPr="00EE5044">
        <w:rPr>
          <w:rFonts w:ascii="Times New Roman" w:hAnsi="Times New Roman"/>
          <w:sz w:val="24"/>
          <w:szCs w:val="24"/>
          <w:lang w:val="uk-UA"/>
        </w:rPr>
        <w:tab/>
        <w:t xml:space="preserve">2) змінено судове рішення по 12 справах; </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ab/>
      </w:r>
      <w:r w:rsidRPr="00EE5044">
        <w:rPr>
          <w:rFonts w:ascii="Times New Roman" w:hAnsi="Times New Roman"/>
          <w:sz w:val="24"/>
          <w:szCs w:val="24"/>
          <w:lang w:val="uk-UA"/>
        </w:rPr>
        <w:tab/>
        <w:t>3) 101 судове рішення було скасоване, що складає 12,8% від справ, які надійшли до суду після перегляду Дніпропетровським апеляційним адміністративним судом у звітному періоді;</w:t>
      </w:r>
    </w:p>
    <w:p w:rsidR="002C57B5" w:rsidRPr="00EE5044" w:rsidRDefault="002C57B5" w:rsidP="002C57B5">
      <w:pPr>
        <w:tabs>
          <w:tab w:val="left" w:pos="284"/>
        </w:tabs>
        <w:spacing w:after="0" w:line="240" w:lineRule="auto"/>
        <w:jc w:val="both"/>
        <w:rPr>
          <w:rFonts w:ascii="Times New Roman" w:hAnsi="Times New Roman"/>
          <w:sz w:val="24"/>
          <w:szCs w:val="24"/>
          <w:lang w:val="uk-UA"/>
        </w:rPr>
      </w:pPr>
      <w:r w:rsidRPr="00EE5044">
        <w:rPr>
          <w:rFonts w:ascii="Times New Roman" w:hAnsi="Times New Roman"/>
          <w:sz w:val="24"/>
          <w:szCs w:val="24"/>
          <w:lang w:val="uk-UA"/>
        </w:rPr>
        <w:tab/>
      </w:r>
      <w:r w:rsidRPr="00EE5044">
        <w:rPr>
          <w:rFonts w:ascii="Times New Roman" w:hAnsi="Times New Roman"/>
          <w:sz w:val="24"/>
          <w:szCs w:val="24"/>
          <w:lang w:val="uk-UA"/>
        </w:rPr>
        <w:tab/>
        <w:t>4) визнано нечинними 2 рішення.</w:t>
      </w:r>
    </w:p>
    <w:p w:rsidR="002C57B5" w:rsidRPr="00EE5044" w:rsidRDefault="002C57B5" w:rsidP="002C57B5">
      <w:pPr>
        <w:spacing w:after="0" w:line="240" w:lineRule="auto"/>
        <w:ind w:firstLine="720"/>
        <w:jc w:val="both"/>
        <w:rPr>
          <w:rFonts w:ascii="Times New Roman" w:hAnsi="Times New Roman"/>
          <w:sz w:val="24"/>
          <w:szCs w:val="24"/>
          <w:lang w:val="uk-UA"/>
        </w:rPr>
      </w:pPr>
      <w:r w:rsidRPr="00EE5044">
        <w:rPr>
          <w:rFonts w:ascii="Times New Roman" w:hAnsi="Times New Roman"/>
          <w:sz w:val="24"/>
          <w:szCs w:val="24"/>
          <w:lang w:val="uk-UA"/>
        </w:rPr>
        <w:t xml:space="preserve">Протягом першого півріччя 2018 року Касаційним адміністративним судом у складі Верховного суду було переглянуто в касаційному порядку та скасовано 6 ухвал Дніпропетровського апеляційного адміністративного суду, рішення Запорізького окружного адміністративного суду залишено в силі. </w:t>
      </w:r>
    </w:p>
    <w:p w:rsidR="002C57B5" w:rsidRPr="00EE5044" w:rsidRDefault="002C57B5" w:rsidP="002C57B5">
      <w:pPr>
        <w:shd w:val="clear" w:color="auto" w:fill="FFFFFF"/>
        <w:spacing w:before="100" w:beforeAutospacing="1" w:after="100" w:afterAutospacing="1" w:line="202" w:lineRule="atLeast"/>
        <w:ind w:firstLine="708"/>
        <w:jc w:val="both"/>
        <w:rPr>
          <w:rFonts w:ascii="Times New Roman" w:hAnsi="Times New Roman"/>
          <w:sz w:val="24"/>
          <w:szCs w:val="24"/>
          <w:lang w:val="uk-UA"/>
        </w:rPr>
      </w:pPr>
      <w:r w:rsidRPr="00EE5044">
        <w:rPr>
          <w:rFonts w:ascii="Times New Roman" w:hAnsi="Times New Roman"/>
          <w:sz w:val="24"/>
          <w:szCs w:val="24"/>
          <w:lang w:val="uk-UA"/>
        </w:rPr>
        <w:t>Виходячи з показників кількості скасованих (101) та змінених (12) судових рішень за результатами апеляційного перегляду рішень Запорізького окружного адміністративного суду, можна зробити висновок про те, що у своїй більшості судді Запорізького окружного адміністративного суду приймають законні та обґрунтовані рішення у відповідності до норм матеріального права при дотриманні норм процесуального права, на підставі повно і всебічно з’ясованих обставин в адміністративній справі, підтверджених тими доказами, які були досліджені в судовому засіданні. Наведені показники демонструють додержання суддівським корпусом стандартів якості роботи, основним з яких, безумовно, є якість судового рішення: його законність, обґрунтованість та своєчасність.</w:t>
      </w:r>
    </w:p>
    <w:p w:rsidR="002C57B5" w:rsidRPr="00EE5044" w:rsidRDefault="002C57B5" w:rsidP="00044238">
      <w:pPr>
        <w:pStyle w:val="ac"/>
        <w:spacing w:before="0" w:beforeAutospacing="0" w:after="0" w:afterAutospacing="0"/>
        <w:ind w:firstLine="708"/>
        <w:jc w:val="both"/>
        <w:rPr>
          <w:lang w:val="uk-UA"/>
        </w:rPr>
      </w:pPr>
    </w:p>
    <w:p w:rsidR="00643A8D" w:rsidRPr="00EE5044"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EE5044">
        <w:rPr>
          <w:rFonts w:ascii="Times New Roman" w:hAnsi="Times New Roman" w:cs="Times New Roman"/>
          <w:b/>
          <w:sz w:val="24"/>
          <w:szCs w:val="24"/>
        </w:rPr>
        <w:t>В</w:t>
      </w:r>
      <w:r w:rsidR="00643A8D" w:rsidRPr="00EE5044">
        <w:rPr>
          <w:rFonts w:ascii="Times New Roman" w:hAnsi="Times New Roman" w:cs="Times New Roman"/>
          <w:b/>
          <w:sz w:val="24"/>
          <w:szCs w:val="24"/>
        </w:rPr>
        <w:t>исновки</w:t>
      </w:r>
    </w:p>
    <w:p w:rsidR="00502944" w:rsidRPr="00EE5044" w:rsidRDefault="005437F4" w:rsidP="00CA5211">
      <w:pPr>
        <w:spacing w:after="0" w:line="240" w:lineRule="auto"/>
        <w:ind w:firstLine="708"/>
        <w:jc w:val="both"/>
        <w:rPr>
          <w:rFonts w:ascii="Times New Roman" w:hAnsi="Times New Roman"/>
          <w:sz w:val="24"/>
          <w:szCs w:val="24"/>
          <w:lang w:val="uk-UA"/>
        </w:rPr>
      </w:pPr>
      <w:r w:rsidRPr="00EE5044">
        <w:rPr>
          <w:rFonts w:ascii="Times New Roman" w:hAnsi="Times New Roman" w:cs="Times New Roman"/>
          <w:sz w:val="24"/>
          <w:szCs w:val="24"/>
          <w:lang w:val="uk-UA" w:eastAsia="uk-UA"/>
        </w:rPr>
        <w:t>Підсумовуючи дані аналізу показників здійснення судочинства Запорізьким окружним адміністративним судом у першому півріччі 201</w:t>
      </w:r>
      <w:r w:rsidR="00527405" w:rsidRPr="00EE5044">
        <w:rPr>
          <w:rFonts w:ascii="Times New Roman" w:hAnsi="Times New Roman" w:cs="Times New Roman"/>
          <w:sz w:val="24"/>
          <w:szCs w:val="24"/>
          <w:lang w:val="uk-UA" w:eastAsia="uk-UA"/>
        </w:rPr>
        <w:t>8</w:t>
      </w:r>
      <w:r w:rsidRPr="00EE5044">
        <w:rPr>
          <w:rFonts w:ascii="Times New Roman" w:hAnsi="Times New Roman" w:cs="Times New Roman"/>
          <w:sz w:val="24"/>
          <w:szCs w:val="24"/>
          <w:lang w:val="uk-UA" w:eastAsia="uk-UA"/>
        </w:rPr>
        <w:t xml:space="preserve"> року, необхідно відмітити, що звітний період охарактеризувався </w:t>
      </w:r>
      <w:r w:rsidR="005B0962" w:rsidRPr="00EE5044">
        <w:rPr>
          <w:rFonts w:ascii="Times New Roman" w:hAnsi="Times New Roman" w:cs="Times New Roman"/>
          <w:sz w:val="24"/>
          <w:szCs w:val="24"/>
          <w:lang w:val="uk-UA" w:eastAsia="uk-UA"/>
        </w:rPr>
        <w:t xml:space="preserve">тим, що </w:t>
      </w:r>
      <w:r w:rsidR="00CA5211" w:rsidRPr="00EE5044">
        <w:rPr>
          <w:rFonts w:ascii="Times New Roman" w:hAnsi="Times New Roman" w:cs="Times New Roman"/>
          <w:sz w:val="24"/>
          <w:szCs w:val="24"/>
          <w:lang w:val="uk-UA" w:eastAsia="uk-UA"/>
        </w:rPr>
        <w:t>з</w:t>
      </w:r>
      <w:r w:rsidR="00502944" w:rsidRPr="00EE5044">
        <w:rPr>
          <w:rFonts w:ascii="Times New Roman" w:hAnsi="Times New Roman"/>
          <w:sz w:val="24"/>
          <w:szCs w:val="24"/>
          <w:lang w:val="uk-UA"/>
        </w:rPr>
        <w:t>гідно з Базовими показниками роботи суду, с</w:t>
      </w:r>
      <w:r w:rsidR="00502944" w:rsidRPr="00EE5044">
        <w:rPr>
          <w:rFonts w:ascii="Times New Roman" w:hAnsi="Times New Roman" w:cs="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00502944" w:rsidRPr="00EE5044">
        <w:rPr>
          <w:rFonts w:ascii="Times New Roman" w:hAnsi="Times New Roman" w:cs="Times New Roman"/>
          <w:b/>
          <w:sz w:val="24"/>
          <w:szCs w:val="24"/>
          <w:lang w:val="uk-UA" w:eastAsia="uk-UA"/>
        </w:rPr>
        <w:t xml:space="preserve">450 </w:t>
      </w:r>
      <w:r w:rsidR="00502944" w:rsidRPr="00EE5044">
        <w:rPr>
          <w:rFonts w:ascii="Times New Roman" w:hAnsi="Times New Roman" w:cs="Times New Roman"/>
          <w:sz w:val="24"/>
          <w:szCs w:val="24"/>
          <w:lang w:val="uk-UA" w:eastAsia="uk-UA"/>
        </w:rPr>
        <w:t xml:space="preserve">справ та матеріалів, що на </w:t>
      </w:r>
      <w:r w:rsidR="00502944" w:rsidRPr="00EE5044">
        <w:rPr>
          <w:rFonts w:ascii="Times New Roman" w:hAnsi="Times New Roman" w:cs="Times New Roman"/>
          <w:b/>
          <w:sz w:val="24"/>
          <w:szCs w:val="24"/>
          <w:lang w:val="uk-UA" w:eastAsia="uk-UA"/>
        </w:rPr>
        <w:t>40,6%</w:t>
      </w:r>
      <w:r w:rsidR="00502944" w:rsidRPr="00EE5044">
        <w:rPr>
          <w:rFonts w:ascii="Times New Roman" w:hAnsi="Times New Roman" w:cs="Times New Roman"/>
          <w:sz w:val="24"/>
          <w:szCs w:val="24"/>
          <w:lang w:val="uk-UA" w:eastAsia="uk-UA"/>
        </w:rPr>
        <w:t xml:space="preserve"> більше ніж у </w:t>
      </w:r>
      <w:r w:rsidR="00502944" w:rsidRPr="00EE5044">
        <w:rPr>
          <w:rFonts w:ascii="Times New Roman" w:hAnsi="Times New Roman"/>
          <w:sz w:val="24"/>
          <w:szCs w:val="24"/>
          <w:lang w:val="uk-UA"/>
        </w:rPr>
        <w:t>першому півріччі 2017 року (</w:t>
      </w:r>
      <w:r w:rsidR="00502944" w:rsidRPr="00EE5044">
        <w:rPr>
          <w:rFonts w:ascii="Times New Roman" w:hAnsi="Times New Roman"/>
          <w:b/>
          <w:sz w:val="24"/>
          <w:szCs w:val="24"/>
          <w:lang w:val="uk-UA"/>
        </w:rPr>
        <w:t>320</w:t>
      </w:r>
      <w:r w:rsidR="00502944" w:rsidRPr="00EE5044">
        <w:rPr>
          <w:rFonts w:ascii="Times New Roman" w:hAnsi="Times New Roman"/>
          <w:sz w:val="24"/>
          <w:szCs w:val="24"/>
          <w:lang w:val="uk-UA"/>
        </w:rPr>
        <w:t>).</w:t>
      </w:r>
    </w:p>
    <w:p w:rsidR="0083164F" w:rsidRPr="00EE5044" w:rsidRDefault="0083164F" w:rsidP="0083164F">
      <w:pPr>
        <w:shd w:val="clear" w:color="auto" w:fill="FFFFFF"/>
        <w:spacing w:after="0" w:line="240" w:lineRule="auto"/>
        <w:ind w:firstLine="709"/>
        <w:jc w:val="both"/>
        <w:rPr>
          <w:rFonts w:ascii="Times New Roman" w:hAnsi="Times New Roman"/>
          <w:sz w:val="24"/>
          <w:szCs w:val="24"/>
          <w:lang w:val="uk-UA" w:eastAsia="uk-UA"/>
        </w:rPr>
      </w:pPr>
      <w:r w:rsidRPr="00EE5044">
        <w:rPr>
          <w:rFonts w:ascii="Times New Roman" w:hAnsi="Times New Roman"/>
          <w:sz w:val="24"/>
          <w:szCs w:val="24"/>
          <w:lang w:val="uk-UA"/>
        </w:rPr>
        <w:t>Згідно з Базовими показниками роботи суду с</w:t>
      </w:r>
      <w:r w:rsidRPr="00EE5044">
        <w:rPr>
          <w:rFonts w:ascii="Times New Roman" w:hAnsi="Times New Roman"/>
          <w:sz w:val="24"/>
          <w:szCs w:val="24"/>
          <w:lang w:val="uk-UA" w:eastAsia="uk-UA"/>
        </w:rPr>
        <w:t>ередня кількість розглянутих справ та матеріалів в звітному періоді в розрахунку на одного суддю становить 296 справ та матеріалів,</w:t>
      </w:r>
      <w:r w:rsidRPr="00EE5044">
        <w:rPr>
          <w:rFonts w:ascii="Times New Roman" w:hAnsi="Times New Roman"/>
          <w:sz w:val="24"/>
          <w:szCs w:val="24"/>
          <w:lang w:val="uk-UA"/>
        </w:rPr>
        <w:t xml:space="preserve"> що на 29,8% більше  у порівнянні з першим півріччям 2017 року (228)</w:t>
      </w:r>
      <w:r w:rsidRPr="00EE5044">
        <w:rPr>
          <w:rFonts w:ascii="Times New Roman" w:hAnsi="Times New Roman"/>
          <w:sz w:val="24"/>
          <w:szCs w:val="24"/>
          <w:lang w:val="uk-UA" w:eastAsia="uk-UA"/>
        </w:rPr>
        <w:t xml:space="preserve">. </w:t>
      </w:r>
    </w:p>
    <w:p w:rsidR="0051159A" w:rsidRPr="00EE5044" w:rsidRDefault="00783A52" w:rsidP="0051159A">
      <w:pPr>
        <w:spacing w:after="0" w:line="240" w:lineRule="auto"/>
        <w:ind w:firstLine="708"/>
        <w:jc w:val="both"/>
        <w:rPr>
          <w:rFonts w:ascii="Times New Roman" w:hAnsi="Times New Roman"/>
          <w:sz w:val="24"/>
          <w:szCs w:val="24"/>
          <w:lang w:val="uk-UA"/>
        </w:rPr>
      </w:pPr>
      <w:r w:rsidRPr="00EE5044">
        <w:rPr>
          <w:rFonts w:ascii="Times New Roman" w:hAnsi="Times New Roman"/>
          <w:sz w:val="24"/>
          <w:szCs w:val="24"/>
          <w:lang w:val="uk-UA"/>
        </w:rPr>
        <w:t xml:space="preserve">Крім того значно зменшилась кількість справ розглянутих з порушенням строку розгляду, а саме </w:t>
      </w:r>
      <w:r w:rsidR="0051159A" w:rsidRPr="00EE5044">
        <w:rPr>
          <w:rFonts w:ascii="Times New Roman" w:hAnsi="Times New Roman"/>
          <w:sz w:val="24"/>
          <w:szCs w:val="24"/>
          <w:lang w:val="uk-UA"/>
        </w:rPr>
        <w:t xml:space="preserve">3 адміністративні справи розглянуті з порушенням строку, передбаченого КАС України, що становить </w:t>
      </w:r>
      <w:r w:rsidR="0051159A" w:rsidRPr="00EE5044">
        <w:rPr>
          <w:rFonts w:ascii="Times New Roman" w:hAnsi="Times New Roman"/>
          <w:b/>
          <w:sz w:val="24"/>
          <w:szCs w:val="24"/>
          <w:lang w:val="uk-UA"/>
        </w:rPr>
        <w:t>0,2</w:t>
      </w:r>
      <w:r w:rsidR="0051159A" w:rsidRPr="00EE5044">
        <w:rPr>
          <w:rFonts w:ascii="Times New Roman" w:hAnsi="Times New Roman"/>
          <w:sz w:val="24"/>
          <w:szCs w:val="24"/>
          <w:lang w:val="uk-UA"/>
        </w:rPr>
        <w:t xml:space="preserve">% від кількості справ, розглянутих у звітному періоді та на </w:t>
      </w:r>
      <w:r w:rsidR="0051159A" w:rsidRPr="00EE5044">
        <w:rPr>
          <w:rFonts w:ascii="Times New Roman" w:hAnsi="Times New Roman"/>
          <w:b/>
          <w:sz w:val="24"/>
          <w:szCs w:val="24"/>
          <w:lang w:val="uk-UA"/>
        </w:rPr>
        <w:t>98,6%</w:t>
      </w:r>
      <w:r w:rsidR="0051159A" w:rsidRPr="00EE5044">
        <w:rPr>
          <w:rFonts w:ascii="Times New Roman" w:hAnsi="Times New Roman"/>
          <w:sz w:val="24"/>
          <w:szCs w:val="24"/>
          <w:lang w:val="uk-UA"/>
        </w:rPr>
        <w:t xml:space="preserve"> менше відповідного показника 2017 року (</w:t>
      </w:r>
      <w:r w:rsidR="0051159A" w:rsidRPr="00EE5044">
        <w:rPr>
          <w:rFonts w:ascii="Times New Roman" w:hAnsi="Times New Roman"/>
          <w:b/>
          <w:sz w:val="24"/>
          <w:szCs w:val="24"/>
          <w:lang w:val="uk-UA"/>
        </w:rPr>
        <w:t>220</w:t>
      </w:r>
      <w:r w:rsidR="0051159A" w:rsidRPr="00EE5044">
        <w:rPr>
          <w:rFonts w:ascii="Times New Roman" w:hAnsi="Times New Roman"/>
          <w:sz w:val="24"/>
          <w:szCs w:val="24"/>
          <w:lang w:val="uk-UA"/>
        </w:rPr>
        <w:t xml:space="preserve"> справ).</w:t>
      </w:r>
    </w:p>
    <w:p w:rsidR="00C36F40" w:rsidRPr="00EE5044" w:rsidRDefault="00CA4520" w:rsidP="00CA4520">
      <w:pPr>
        <w:spacing w:after="0" w:line="240" w:lineRule="auto"/>
        <w:ind w:firstLine="708"/>
        <w:jc w:val="both"/>
        <w:rPr>
          <w:rFonts w:ascii="Times New Roman" w:hAnsi="Times New Roman" w:cs="Times New Roman"/>
          <w:sz w:val="24"/>
          <w:szCs w:val="24"/>
          <w:lang w:val="uk-UA"/>
        </w:rPr>
      </w:pPr>
      <w:r w:rsidRPr="00EE5044">
        <w:rPr>
          <w:rFonts w:ascii="Times New Roman" w:hAnsi="Times New Roman" w:cs="Times New Roman"/>
          <w:sz w:val="24"/>
          <w:szCs w:val="24"/>
          <w:lang w:val="uk-UA"/>
        </w:rPr>
        <w:t xml:space="preserve">Варто звернути увагу і на показники сплаченого судового збору, що на </w:t>
      </w:r>
      <w:r w:rsidR="00C36F40" w:rsidRPr="00EE5044">
        <w:rPr>
          <w:rFonts w:ascii="Times New Roman" w:hAnsi="Times New Roman"/>
          <w:sz w:val="24"/>
          <w:szCs w:val="24"/>
          <w:lang w:val="uk-UA"/>
        </w:rPr>
        <w:t xml:space="preserve">32,5% </w:t>
      </w:r>
      <w:r w:rsidRPr="00EE5044">
        <w:rPr>
          <w:rFonts w:ascii="Times New Roman" w:hAnsi="Times New Roman" w:cs="Times New Roman"/>
          <w:sz w:val="24"/>
          <w:szCs w:val="24"/>
          <w:lang w:val="uk-UA"/>
        </w:rPr>
        <w:t>більше ніж у першому півріччі 201</w:t>
      </w:r>
      <w:r w:rsidR="00C36F40" w:rsidRPr="00EE5044">
        <w:rPr>
          <w:rFonts w:ascii="Times New Roman" w:hAnsi="Times New Roman" w:cs="Times New Roman"/>
          <w:sz w:val="24"/>
          <w:szCs w:val="24"/>
          <w:lang w:val="uk-UA"/>
        </w:rPr>
        <w:t>7</w:t>
      </w:r>
      <w:r w:rsidR="005C6321" w:rsidRPr="00EE5044">
        <w:rPr>
          <w:rFonts w:ascii="Times New Roman" w:hAnsi="Times New Roman" w:cs="Times New Roman"/>
          <w:sz w:val="24"/>
          <w:szCs w:val="24"/>
          <w:lang w:val="uk-UA"/>
        </w:rPr>
        <w:t xml:space="preserve"> року. </w:t>
      </w:r>
    </w:p>
    <w:p w:rsidR="00C36F40" w:rsidRPr="00EE5044" w:rsidRDefault="00C36F40" w:rsidP="005C6321">
      <w:pPr>
        <w:tabs>
          <w:tab w:val="left" w:pos="993"/>
        </w:tabs>
        <w:spacing w:after="0" w:line="240" w:lineRule="auto"/>
        <w:jc w:val="both"/>
        <w:rPr>
          <w:rFonts w:ascii="Times New Roman" w:hAnsi="Times New Roman" w:cs="Times New Roman"/>
          <w:sz w:val="24"/>
          <w:szCs w:val="24"/>
          <w:lang w:val="uk-UA"/>
        </w:rPr>
      </w:pPr>
      <w:r w:rsidRPr="00EE5044">
        <w:rPr>
          <w:rFonts w:ascii="Times New Roman" w:hAnsi="Times New Roman"/>
          <w:sz w:val="24"/>
          <w:szCs w:val="24"/>
          <w:lang w:val="uk-UA"/>
        </w:rPr>
        <w:t xml:space="preserve">            </w:t>
      </w:r>
    </w:p>
    <w:p w:rsidR="00CA4520" w:rsidRPr="00EE5044"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EE5044">
        <w:rPr>
          <w:rFonts w:ascii="Times New Roman" w:hAnsi="Times New Roman" w:cs="Times New Roman"/>
          <w:sz w:val="24"/>
          <w:szCs w:val="24"/>
          <w:lang w:val="uk-UA"/>
        </w:rPr>
        <w:lastRenderedPageBreak/>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DA20A7" w:rsidRPr="00EE5044" w:rsidRDefault="00CA4520" w:rsidP="008515E8">
      <w:pPr>
        <w:spacing w:line="240" w:lineRule="auto"/>
        <w:ind w:firstLine="539"/>
        <w:jc w:val="both"/>
        <w:rPr>
          <w:rFonts w:ascii="Times New Roman" w:hAnsi="Times New Roman" w:cs="Times New Roman"/>
          <w:sz w:val="24"/>
          <w:szCs w:val="24"/>
          <w:lang w:val="uk-UA"/>
        </w:rPr>
      </w:pPr>
      <w:r w:rsidRPr="00EE5044">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в тому числі і стосовно достовірності та повноти складання статистичної інформації, підвищити вимоги до своєчасного та якісного виготовлення судових рішень. Водночас необхідним є підвищення кваліфікації працівників апарату з метою покращення рівня організації діяльності суду. </w:t>
      </w:r>
    </w:p>
    <w:p w:rsidR="00DA20A7" w:rsidRPr="00EE5044" w:rsidRDefault="00DA20A7" w:rsidP="008515E8">
      <w:pPr>
        <w:spacing w:line="240" w:lineRule="auto"/>
        <w:ind w:firstLine="539"/>
        <w:jc w:val="both"/>
        <w:rPr>
          <w:rFonts w:ascii="Times New Roman" w:hAnsi="Times New Roman" w:cs="Times New Roman"/>
          <w:sz w:val="24"/>
          <w:szCs w:val="24"/>
          <w:lang w:val="uk-UA"/>
        </w:rPr>
      </w:pPr>
    </w:p>
    <w:p w:rsidR="008D677E" w:rsidRDefault="008D677E" w:rsidP="008515E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Тимчасово виконуючий </w:t>
      </w:r>
      <w:r w:rsidR="00BE1380">
        <w:rPr>
          <w:rFonts w:ascii="Times New Roman" w:hAnsi="Times New Roman" w:cs="Times New Roman"/>
          <w:b/>
          <w:sz w:val="24"/>
          <w:szCs w:val="24"/>
          <w:lang w:val="uk-UA"/>
        </w:rPr>
        <w:t>обов’язки</w:t>
      </w:r>
      <w:r>
        <w:rPr>
          <w:rFonts w:ascii="Times New Roman" w:hAnsi="Times New Roman" w:cs="Times New Roman"/>
          <w:b/>
          <w:sz w:val="24"/>
          <w:szCs w:val="24"/>
          <w:lang w:val="uk-UA"/>
        </w:rPr>
        <w:t xml:space="preserve"> </w:t>
      </w:r>
    </w:p>
    <w:p w:rsidR="002212FA" w:rsidRPr="00EE5044" w:rsidRDefault="00BE1380" w:rsidP="008515E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г</w:t>
      </w:r>
      <w:r w:rsidR="0036289C" w:rsidRPr="00EE5044">
        <w:rPr>
          <w:rFonts w:ascii="Times New Roman" w:hAnsi="Times New Roman" w:cs="Times New Roman"/>
          <w:b/>
          <w:sz w:val="24"/>
          <w:szCs w:val="24"/>
          <w:lang w:val="uk-UA"/>
        </w:rPr>
        <w:t>олов</w:t>
      </w:r>
      <w:r w:rsidR="008D677E">
        <w:rPr>
          <w:rFonts w:ascii="Times New Roman" w:hAnsi="Times New Roman" w:cs="Times New Roman"/>
          <w:b/>
          <w:sz w:val="24"/>
          <w:szCs w:val="24"/>
          <w:lang w:val="uk-UA"/>
        </w:rPr>
        <w:t>и</w:t>
      </w:r>
      <w:r w:rsidR="0036289C" w:rsidRPr="00EE5044">
        <w:rPr>
          <w:rFonts w:ascii="Times New Roman" w:hAnsi="Times New Roman" w:cs="Times New Roman"/>
          <w:b/>
          <w:sz w:val="24"/>
          <w:szCs w:val="24"/>
          <w:lang w:val="uk-UA"/>
        </w:rPr>
        <w:t xml:space="preserve"> суду </w:t>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r>
      <w:r w:rsidR="0036289C" w:rsidRPr="00EE5044">
        <w:rPr>
          <w:rFonts w:ascii="Times New Roman" w:hAnsi="Times New Roman" w:cs="Times New Roman"/>
          <w:b/>
          <w:sz w:val="24"/>
          <w:szCs w:val="24"/>
          <w:lang w:val="uk-UA"/>
        </w:rPr>
        <w:tab/>
        <w:t xml:space="preserve">О.В. </w:t>
      </w:r>
      <w:r>
        <w:rPr>
          <w:rFonts w:ascii="Times New Roman" w:hAnsi="Times New Roman" w:cs="Times New Roman"/>
          <w:b/>
          <w:sz w:val="24"/>
          <w:szCs w:val="24"/>
          <w:lang w:val="uk-UA"/>
        </w:rPr>
        <w:t>Конишева</w:t>
      </w:r>
    </w:p>
    <w:p w:rsidR="00EC22FB" w:rsidRPr="00EE5044" w:rsidRDefault="00EC22FB" w:rsidP="008515E8">
      <w:pPr>
        <w:spacing w:after="0" w:line="240" w:lineRule="auto"/>
        <w:jc w:val="both"/>
        <w:rPr>
          <w:rFonts w:ascii="Times New Roman" w:hAnsi="Times New Roman" w:cs="Times New Roman"/>
          <w:b/>
          <w:sz w:val="24"/>
          <w:szCs w:val="24"/>
          <w:lang w:val="uk-UA"/>
        </w:rPr>
      </w:pPr>
      <w:bookmarkStart w:id="0" w:name="_GoBack"/>
      <w:bookmarkEnd w:id="0"/>
    </w:p>
    <w:sectPr w:rsidR="00EC22FB" w:rsidRPr="00EE5044" w:rsidSect="00DA260C">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C5" w:rsidRDefault="005717C5" w:rsidP="00092DC7">
      <w:pPr>
        <w:spacing w:after="0" w:line="240" w:lineRule="auto"/>
      </w:pPr>
      <w:r>
        <w:separator/>
      </w:r>
    </w:p>
  </w:endnote>
  <w:endnote w:type="continuationSeparator" w:id="0">
    <w:p w:rsidR="005717C5" w:rsidRDefault="005717C5"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C5" w:rsidRDefault="005717C5" w:rsidP="00092DC7">
      <w:pPr>
        <w:spacing w:after="0" w:line="240" w:lineRule="auto"/>
      </w:pPr>
      <w:r>
        <w:separator/>
      </w:r>
    </w:p>
  </w:footnote>
  <w:footnote w:type="continuationSeparator" w:id="0">
    <w:p w:rsidR="005717C5" w:rsidRDefault="005717C5" w:rsidP="0009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0473"/>
      <w:docPartObj>
        <w:docPartGallery w:val="Page Numbers (Top of Page)"/>
        <w:docPartUnique/>
      </w:docPartObj>
    </w:sdtPr>
    <w:sdtEndPr/>
    <w:sdtContent>
      <w:p w:rsidR="00B22B3A" w:rsidRDefault="00B22B3A">
        <w:pPr>
          <w:pStyle w:val="a7"/>
          <w:jc w:val="center"/>
        </w:pPr>
        <w:r>
          <w:fldChar w:fldCharType="begin"/>
        </w:r>
        <w:r>
          <w:instrText xml:space="preserve"> PAGE   \* MERGEFORMAT </w:instrText>
        </w:r>
        <w:r>
          <w:fldChar w:fldCharType="separate"/>
        </w:r>
        <w:r w:rsidR="00BE1380">
          <w:rPr>
            <w:noProof/>
          </w:rPr>
          <w:t>6</w:t>
        </w:r>
        <w:r>
          <w:rPr>
            <w:noProof/>
          </w:rPr>
          <w:fldChar w:fldCharType="end"/>
        </w:r>
      </w:p>
    </w:sdtContent>
  </w:sdt>
  <w:p w:rsidR="00B22B3A" w:rsidRDefault="00B22B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3A" w:rsidRDefault="00B22B3A">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2"/>
  </w:num>
  <w:num w:numId="8">
    <w:abstractNumId w:val="7"/>
  </w:num>
  <w:num w:numId="9">
    <w:abstractNumId w:val="0"/>
  </w:num>
  <w:num w:numId="10">
    <w:abstractNumId w:val="10"/>
  </w:num>
  <w:num w:numId="11">
    <w:abstractNumId w:val="2"/>
  </w:num>
  <w:num w:numId="12">
    <w:abstractNumId w:val="17"/>
  </w:num>
  <w:num w:numId="13">
    <w:abstractNumId w:val="16"/>
  </w:num>
  <w:num w:numId="14">
    <w:abstractNumId w:val="20"/>
  </w:num>
  <w:num w:numId="15">
    <w:abstractNumId w:val="3"/>
  </w:num>
  <w:num w:numId="16">
    <w:abstractNumId w:val="15"/>
  </w:num>
  <w:num w:numId="17">
    <w:abstractNumId w:val="5"/>
  </w:num>
  <w:num w:numId="18">
    <w:abstractNumId w:val="13"/>
  </w:num>
  <w:num w:numId="19">
    <w:abstractNumId w:val="21"/>
  </w:num>
  <w:num w:numId="20">
    <w:abstractNumId w:val="9"/>
  </w:num>
  <w:num w:numId="21">
    <w:abstractNumId w:val="22"/>
  </w:num>
  <w:num w:numId="22">
    <w:abstractNumId w:val="18"/>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7F12"/>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30BBB"/>
    <w:rsid w:val="00031AEA"/>
    <w:rsid w:val="00036197"/>
    <w:rsid w:val="00036BF0"/>
    <w:rsid w:val="0004224C"/>
    <w:rsid w:val="0004241F"/>
    <w:rsid w:val="00042B75"/>
    <w:rsid w:val="000439F6"/>
    <w:rsid w:val="00044238"/>
    <w:rsid w:val="000443C2"/>
    <w:rsid w:val="00047169"/>
    <w:rsid w:val="00047D53"/>
    <w:rsid w:val="00050AF6"/>
    <w:rsid w:val="000524F7"/>
    <w:rsid w:val="00052E03"/>
    <w:rsid w:val="00054926"/>
    <w:rsid w:val="00054C9F"/>
    <w:rsid w:val="00056DA8"/>
    <w:rsid w:val="0006519F"/>
    <w:rsid w:val="000734EA"/>
    <w:rsid w:val="000750BD"/>
    <w:rsid w:val="000771CE"/>
    <w:rsid w:val="0008050C"/>
    <w:rsid w:val="00080C04"/>
    <w:rsid w:val="00084AAA"/>
    <w:rsid w:val="0009201B"/>
    <w:rsid w:val="00092DC7"/>
    <w:rsid w:val="000938AF"/>
    <w:rsid w:val="00093C7C"/>
    <w:rsid w:val="00094948"/>
    <w:rsid w:val="00094C13"/>
    <w:rsid w:val="00097AB4"/>
    <w:rsid w:val="000A13DF"/>
    <w:rsid w:val="000A2B48"/>
    <w:rsid w:val="000A39D3"/>
    <w:rsid w:val="000A3E83"/>
    <w:rsid w:val="000A437C"/>
    <w:rsid w:val="000A4744"/>
    <w:rsid w:val="000A5BA0"/>
    <w:rsid w:val="000B1873"/>
    <w:rsid w:val="000B1BAC"/>
    <w:rsid w:val="000B35FF"/>
    <w:rsid w:val="000B62B2"/>
    <w:rsid w:val="000B694A"/>
    <w:rsid w:val="000C1E83"/>
    <w:rsid w:val="000C4562"/>
    <w:rsid w:val="000C45CD"/>
    <w:rsid w:val="000C5A84"/>
    <w:rsid w:val="000D1BCE"/>
    <w:rsid w:val="000D1FB6"/>
    <w:rsid w:val="000D2407"/>
    <w:rsid w:val="000D3CF5"/>
    <w:rsid w:val="000D770E"/>
    <w:rsid w:val="000D7999"/>
    <w:rsid w:val="000E01E8"/>
    <w:rsid w:val="000E1017"/>
    <w:rsid w:val="000E1FE5"/>
    <w:rsid w:val="000E51C1"/>
    <w:rsid w:val="000E522A"/>
    <w:rsid w:val="000E52EB"/>
    <w:rsid w:val="000E7B6C"/>
    <w:rsid w:val="000F0AB2"/>
    <w:rsid w:val="000F0D2E"/>
    <w:rsid w:val="000F1E4D"/>
    <w:rsid w:val="000F217A"/>
    <w:rsid w:val="000F4996"/>
    <w:rsid w:val="000F5383"/>
    <w:rsid w:val="000F7727"/>
    <w:rsid w:val="00101DD4"/>
    <w:rsid w:val="00103AF9"/>
    <w:rsid w:val="00105AF4"/>
    <w:rsid w:val="00105DF4"/>
    <w:rsid w:val="0010691B"/>
    <w:rsid w:val="00106F26"/>
    <w:rsid w:val="001070B2"/>
    <w:rsid w:val="00107BB5"/>
    <w:rsid w:val="00110223"/>
    <w:rsid w:val="001106E0"/>
    <w:rsid w:val="00110C1B"/>
    <w:rsid w:val="00110CBD"/>
    <w:rsid w:val="00110F24"/>
    <w:rsid w:val="00111318"/>
    <w:rsid w:val="00112243"/>
    <w:rsid w:val="0011246E"/>
    <w:rsid w:val="00113428"/>
    <w:rsid w:val="00113B98"/>
    <w:rsid w:val="0011594D"/>
    <w:rsid w:val="00115CA2"/>
    <w:rsid w:val="001163E4"/>
    <w:rsid w:val="001170CA"/>
    <w:rsid w:val="001176A5"/>
    <w:rsid w:val="00121521"/>
    <w:rsid w:val="0012184F"/>
    <w:rsid w:val="00121A6E"/>
    <w:rsid w:val="00122C95"/>
    <w:rsid w:val="001253E1"/>
    <w:rsid w:val="00132E47"/>
    <w:rsid w:val="0013325C"/>
    <w:rsid w:val="00133AA8"/>
    <w:rsid w:val="00134375"/>
    <w:rsid w:val="00134715"/>
    <w:rsid w:val="00134772"/>
    <w:rsid w:val="00137664"/>
    <w:rsid w:val="00137EA7"/>
    <w:rsid w:val="00140AF2"/>
    <w:rsid w:val="00145FE9"/>
    <w:rsid w:val="00146794"/>
    <w:rsid w:val="00150FDD"/>
    <w:rsid w:val="00152929"/>
    <w:rsid w:val="0015525F"/>
    <w:rsid w:val="001561D0"/>
    <w:rsid w:val="0015796A"/>
    <w:rsid w:val="00161F1B"/>
    <w:rsid w:val="001620A1"/>
    <w:rsid w:val="001620FD"/>
    <w:rsid w:val="00162277"/>
    <w:rsid w:val="00164C64"/>
    <w:rsid w:val="00164DF1"/>
    <w:rsid w:val="001673FE"/>
    <w:rsid w:val="00170829"/>
    <w:rsid w:val="001713A7"/>
    <w:rsid w:val="0017234B"/>
    <w:rsid w:val="00174C6C"/>
    <w:rsid w:val="0017617E"/>
    <w:rsid w:val="00177FF3"/>
    <w:rsid w:val="00180C7B"/>
    <w:rsid w:val="00183368"/>
    <w:rsid w:val="001838B4"/>
    <w:rsid w:val="00190BA8"/>
    <w:rsid w:val="00193F42"/>
    <w:rsid w:val="001949C6"/>
    <w:rsid w:val="00194EDE"/>
    <w:rsid w:val="00195192"/>
    <w:rsid w:val="00195E22"/>
    <w:rsid w:val="001A382F"/>
    <w:rsid w:val="001A5FC4"/>
    <w:rsid w:val="001A7410"/>
    <w:rsid w:val="001A76A9"/>
    <w:rsid w:val="001B0ABF"/>
    <w:rsid w:val="001B0AD3"/>
    <w:rsid w:val="001B0DFC"/>
    <w:rsid w:val="001B1222"/>
    <w:rsid w:val="001B1E9A"/>
    <w:rsid w:val="001B46D6"/>
    <w:rsid w:val="001B52CB"/>
    <w:rsid w:val="001C13B5"/>
    <w:rsid w:val="001C16A9"/>
    <w:rsid w:val="001C2659"/>
    <w:rsid w:val="001C5CE0"/>
    <w:rsid w:val="001C69C1"/>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6FD"/>
    <w:rsid w:val="001F532F"/>
    <w:rsid w:val="001F5E21"/>
    <w:rsid w:val="001F65A4"/>
    <w:rsid w:val="0020297A"/>
    <w:rsid w:val="00203E5C"/>
    <w:rsid w:val="00206510"/>
    <w:rsid w:val="0021019D"/>
    <w:rsid w:val="0021044D"/>
    <w:rsid w:val="00213C20"/>
    <w:rsid w:val="00217836"/>
    <w:rsid w:val="00217D5B"/>
    <w:rsid w:val="002212FA"/>
    <w:rsid w:val="00221C05"/>
    <w:rsid w:val="00223123"/>
    <w:rsid w:val="002244F9"/>
    <w:rsid w:val="00226722"/>
    <w:rsid w:val="0022680D"/>
    <w:rsid w:val="00231578"/>
    <w:rsid w:val="00232FB7"/>
    <w:rsid w:val="00233393"/>
    <w:rsid w:val="00234C55"/>
    <w:rsid w:val="002362C6"/>
    <w:rsid w:val="00236976"/>
    <w:rsid w:val="00240344"/>
    <w:rsid w:val="002410C8"/>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2128"/>
    <w:rsid w:val="00282B42"/>
    <w:rsid w:val="002834D1"/>
    <w:rsid w:val="00284B97"/>
    <w:rsid w:val="00285263"/>
    <w:rsid w:val="00285A58"/>
    <w:rsid w:val="00287647"/>
    <w:rsid w:val="00293124"/>
    <w:rsid w:val="002965DA"/>
    <w:rsid w:val="002A272F"/>
    <w:rsid w:val="002A3881"/>
    <w:rsid w:val="002A38A0"/>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C05DD"/>
    <w:rsid w:val="002C0F9C"/>
    <w:rsid w:val="002C1718"/>
    <w:rsid w:val="002C409D"/>
    <w:rsid w:val="002C4393"/>
    <w:rsid w:val="002C44BC"/>
    <w:rsid w:val="002C57B5"/>
    <w:rsid w:val="002C6AC6"/>
    <w:rsid w:val="002C6FFA"/>
    <w:rsid w:val="002C79B6"/>
    <w:rsid w:val="002D014C"/>
    <w:rsid w:val="002D0D68"/>
    <w:rsid w:val="002D4ACB"/>
    <w:rsid w:val="002D544C"/>
    <w:rsid w:val="002D653D"/>
    <w:rsid w:val="002D6BE2"/>
    <w:rsid w:val="002D7F12"/>
    <w:rsid w:val="002E091A"/>
    <w:rsid w:val="002E116F"/>
    <w:rsid w:val="002E1274"/>
    <w:rsid w:val="002E2CF3"/>
    <w:rsid w:val="002E5A1D"/>
    <w:rsid w:val="002E6BD3"/>
    <w:rsid w:val="002F280A"/>
    <w:rsid w:val="002F30B4"/>
    <w:rsid w:val="002F3B76"/>
    <w:rsid w:val="002F5576"/>
    <w:rsid w:val="0030061D"/>
    <w:rsid w:val="00310B73"/>
    <w:rsid w:val="00311506"/>
    <w:rsid w:val="00311723"/>
    <w:rsid w:val="00312CC0"/>
    <w:rsid w:val="00312CE7"/>
    <w:rsid w:val="00315681"/>
    <w:rsid w:val="00320354"/>
    <w:rsid w:val="0032100B"/>
    <w:rsid w:val="00321AC3"/>
    <w:rsid w:val="00321EF6"/>
    <w:rsid w:val="0032717A"/>
    <w:rsid w:val="00327601"/>
    <w:rsid w:val="003304B4"/>
    <w:rsid w:val="00331784"/>
    <w:rsid w:val="00331D07"/>
    <w:rsid w:val="00331DC8"/>
    <w:rsid w:val="003325A3"/>
    <w:rsid w:val="0033272A"/>
    <w:rsid w:val="003374FE"/>
    <w:rsid w:val="0033779B"/>
    <w:rsid w:val="00341D56"/>
    <w:rsid w:val="003440C4"/>
    <w:rsid w:val="003451AD"/>
    <w:rsid w:val="003457E8"/>
    <w:rsid w:val="00345FB0"/>
    <w:rsid w:val="003467EB"/>
    <w:rsid w:val="003510BC"/>
    <w:rsid w:val="00353825"/>
    <w:rsid w:val="003565B4"/>
    <w:rsid w:val="00356A34"/>
    <w:rsid w:val="00357011"/>
    <w:rsid w:val="00357170"/>
    <w:rsid w:val="003618A7"/>
    <w:rsid w:val="003620B5"/>
    <w:rsid w:val="003623D2"/>
    <w:rsid w:val="0036289C"/>
    <w:rsid w:val="00362D3F"/>
    <w:rsid w:val="003647CD"/>
    <w:rsid w:val="00366504"/>
    <w:rsid w:val="003716D8"/>
    <w:rsid w:val="0037504E"/>
    <w:rsid w:val="00375CC2"/>
    <w:rsid w:val="0037721E"/>
    <w:rsid w:val="0038202F"/>
    <w:rsid w:val="00382035"/>
    <w:rsid w:val="003843AA"/>
    <w:rsid w:val="00384B6B"/>
    <w:rsid w:val="003873D2"/>
    <w:rsid w:val="00387B82"/>
    <w:rsid w:val="00387DFE"/>
    <w:rsid w:val="003901DD"/>
    <w:rsid w:val="003912E0"/>
    <w:rsid w:val="0039205A"/>
    <w:rsid w:val="00393D5F"/>
    <w:rsid w:val="003943FD"/>
    <w:rsid w:val="00395324"/>
    <w:rsid w:val="0039543C"/>
    <w:rsid w:val="00397D4A"/>
    <w:rsid w:val="003A58DB"/>
    <w:rsid w:val="003A5CC4"/>
    <w:rsid w:val="003A6DFC"/>
    <w:rsid w:val="003A7780"/>
    <w:rsid w:val="003B00D2"/>
    <w:rsid w:val="003B4DBC"/>
    <w:rsid w:val="003B508D"/>
    <w:rsid w:val="003B6C6E"/>
    <w:rsid w:val="003B7BA9"/>
    <w:rsid w:val="003C0C8E"/>
    <w:rsid w:val="003C23FD"/>
    <w:rsid w:val="003C4712"/>
    <w:rsid w:val="003C736E"/>
    <w:rsid w:val="003D1320"/>
    <w:rsid w:val="003D16C0"/>
    <w:rsid w:val="003D22E8"/>
    <w:rsid w:val="003D2EED"/>
    <w:rsid w:val="003D3654"/>
    <w:rsid w:val="003D38A7"/>
    <w:rsid w:val="003D51C2"/>
    <w:rsid w:val="003D5A08"/>
    <w:rsid w:val="003D6745"/>
    <w:rsid w:val="003E0629"/>
    <w:rsid w:val="003E2BED"/>
    <w:rsid w:val="003E2D78"/>
    <w:rsid w:val="003E33F2"/>
    <w:rsid w:val="003E6B8C"/>
    <w:rsid w:val="003E742A"/>
    <w:rsid w:val="003E79FF"/>
    <w:rsid w:val="003F0E09"/>
    <w:rsid w:val="003F50E0"/>
    <w:rsid w:val="003F7A14"/>
    <w:rsid w:val="00400B2D"/>
    <w:rsid w:val="00404062"/>
    <w:rsid w:val="00404AA4"/>
    <w:rsid w:val="00404BEA"/>
    <w:rsid w:val="00404FB7"/>
    <w:rsid w:val="00406240"/>
    <w:rsid w:val="00406C3A"/>
    <w:rsid w:val="0041042D"/>
    <w:rsid w:val="00412322"/>
    <w:rsid w:val="004128AD"/>
    <w:rsid w:val="0041303B"/>
    <w:rsid w:val="00413642"/>
    <w:rsid w:val="00414611"/>
    <w:rsid w:val="00414CDD"/>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586D"/>
    <w:rsid w:val="00435DCF"/>
    <w:rsid w:val="00437479"/>
    <w:rsid w:val="00440458"/>
    <w:rsid w:val="00441DA8"/>
    <w:rsid w:val="00442855"/>
    <w:rsid w:val="00442886"/>
    <w:rsid w:val="00444D41"/>
    <w:rsid w:val="00444E8F"/>
    <w:rsid w:val="00447AA7"/>
    <w:rsid w:val="00452B02"/>
    <w:rsid w:val="00453032"/>
    <w:rsid w:val="0045468E"/>
    <w:rsid w:val="00454AF0"/>
    <w:rsid w:val="00454B1E"/>
    <w:rsid w:val="00456790"/>
    <w:rsid w:val="0046133F"/>
    <w:rsid w:val="00461D3C"/>
    <w:rsid w:val="00462279"/>
    <w:rsid w:val="00462C60"/>
    <w:rsid w:val="00464093"/>
    <w:rsid w:val="00464D87"/>
    <w:rsid w:val="00466198"/>
    <w:rsid w:val="00473291"/>
    <w:rsid w:val="004736CE"/>
    <w:rsid w:val="00473E2A"/>
    <w:rsid w:val="0047401B"/>
    <w:rsid w:val="00474236"/>
    <w:rsid w:val="00474DB0"/>
    <w:rsid w:val="00477DF9"/>
    <w:rsid w:val="00481590"/>
    <w:rsid w:val="0048348F"/>
    <w:rsid w:val="004842BB"/>
    <w:rsid w:val="00484705"/>
    <w:rsid w:val="00486D50"/>
    <w:rsid w:val="00487A44"/>
    <w:rsid w:val="004908F0"/>
    <w:rsid w:val="00492BC4"/>
    <w:rsid w:val="00492D91"/>
    <w:rsid w:val="00494853"/>
    <w:rsid w:val="0049695D"/>
    <w:rsid w:val="0049721B"/>
    <w:rsid w:val="00497CBB"/>
    <w:rsid w:val="004A127B"/>
    <w:rsid w:val="004A68EF"/>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4E39"/>
    <w:rsid w:val="004E048B"/>
    <w:rsid w:val="004E0BD3"/>
    <w:rsid w:val="004E0C13"/>
    <w:rsid w:val="004E0F0F"/>
    <w:rsid w:val="004E27E2"/>
    <w:rsid w:val="004E3349"/>
    <w:rsid w:val="004E3B11"/>
    <w:rsid w:val="004F0BC5"/>
    <w:rsid w:val="004F2DF8"/>
    <w:rsid w:val="004F339F"/>
    <w:rsid w:val="0050021F"/>
    <w:rsid w:val="00502944"/>
    <w:rsid w:val="00504058"/>
    <w:rsid w:val="0051159A"/>
    <w:rsid w:val="005117A5"/>
    <w:rsid w:val="00511C2C"/>
    <w:rsid w:val="00512427"/>
    <w:rsid w:val="005128CC"/>
    <w:rsid w:val="00516669"/>
    <w:rsid w:val="00520F26"/>
    <w:rsid w:val="005219D9"/>
    <w:rsid w:val="00521F36"/>
    <w:rsid w:val="00522A0E"/>
    <w:rsid w:val="0052380E"/>
    <w:rsid w:val="00523C67"/>
    <w:rsid w:val="00523EC2"/>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3663"/>
    <w:rsid w:val="005437F4"/>
    <w:rsid w:val="00544D7F"/>
    <w:rsid w:val="00545247"/>
    <w:rsid w:val="005456E2"/>
    <w:rsid w:val="00545EBE"/>
    <w:rsid w:val="00546B73"/>
    <w:rsid w:val="00546E8D"/>
    <w:rsid w:val="005477A2"/>
    <w:rsid w:val="00550DC8"/>
    <w:rsid w:val="00551373"/>
    <w:rsid w:val="00551A3A"/>
    <w:rsid w:val="00554693"/>
    <w:rsid w:val="00555F2C"/>
    <w:rsid w:val="00556148"/>
    <w:rsid w:val="0055655C"/>
    <w:rsid w:val="00557FD5"/>
    <w:rsid w:val="00560437"/>
    <w:rsid w:val="00560452"/>
    <w:rsid w:val="005604D8"/>
    <w:rsid w:val="00563158"/>
    <w:rsid w:val="00563372"/>
    <w:rsid w:val="00566F5F"/>
    <w:rsid w:val="005675E1"/>
    <w:rsid w:val="0057074B"/>
    <w:rsid w:val="005717C5"/>
    <w:rsid w:val="005746A0"/>
    <w:rsid w:val="00576631"/>
    <w:rsid w:val="00580585"/>
    <w:rsid w:val="0059066F"/>
    <w:rsid w:val="00591E32"/>
    <w:rsid w:val="0059258C"/>
    <w:rsid w:val="00594A26"/>
    <w:rsid w:val="0059542D"/>
    <w:rsid w:val="00595884"/>
    <w:rsid w:val="005962D0"/>
    <w:rsid w:val="005965D8"/>
    <w:rsid w:val="005965FB"/>
    <w:rsid w:val="00596ECB"/>
    <w:rsid w:val="00597457"/>
    <w:rsid w:val="005977F3"/>
    <w:rsid w:val="005A1823"/>
    <w:rsid w:val="005A3308"/>
    <w:rsid w:val="005A36A1"/>
    <w:rsid w:val="005A5F00"/>
    <w:rsid w:val="005A62A8"/>
    <w:rsid w:val="005A69BC"/>
    <w:rsid w:val="005A7ABD"/>
    <w:rsid w:val="005B0962"/>
    <w:rsid w:val="005B0E97"/>
    <w:rsid w:val="005B0FD1"/>
    <w:rsid w:val="005B2693"/>
    <w:rsid w:val="005B45DB"/>
    <w:rsid w:val="005B4E8F"/>
    <w:rsid w:val="005B68B1"/>
    <w:rsid w:val="005C0141"/>
    <w:rsid w:val="005C0255"/>
    <w:rsid w:val="005C0656"/>
    <w:rsid w:val="005C1D71"/>
    <w:rsid w:val="005C2D0D"/>
    <w:rsid w:val="005C3AAD"/>
    <w:rsid w:val="005C53A8"/>
    <w:rsid w:val="005C6321"/>
    <w:rsid w:val="005C711A"/>
    <w:rsid w:val="005D11E0"/>
    <w:rsid w:val="005E0BE9"/>
    <w:rsid w:val="005E405E"/>
    <w:rsid w:val="005E4418"/>
    <w:rsid w:val="005E46AA"/>
    <w:rsid w:val="005E5707"/>
    <w:rsid w:val="005E5E30"/>
    <w:rsid w:val="005E769D"/>
    <w:rsid w:val="005E78CF"/>
    <w:rsid w:val="005F34F5"/>
    <w:rsid w:val="00603BA9"/>
    <w:rsid w:val="006048E1"/>
    <w:rsid w:val="00606221"/>
    <w:rsid w:val="00606A5D"/>
    <w:rsid w:val="006079DA"/>
    <w:rsid w:val="006103E9"/>
    <w:rsid w:val="00610818"/>
    <w:rsid w:val="00612215"/>
    <w:rsid w:val="00613AB8"/>
    <w:rsid w:val="00614D87"/>
    <w:rsid w:val="006157DF"/>
    <w:rsid w:val="00615DF9"/>
    <w:rsid w:val="0061613F"/>
    <w:rsid w:val="00617743"/>
    <w:rsid w:val="00620D64"/>
    <w:rsid w:val="006210EC"/>
    <w:rsid w:val="006214C9"/>
    <w:rsid w:val="006217A1"/>
    <w:rsid w:val="006218CA"/>
    <w:rsid w:val="006244A9"/>
    <w:rsid w:val="00624FDF"/>
    <w:rsid w:val="006324E5"/>
    <w:rsid w:val="00635AD5"/>
    <w:rsid w:val="00635D02"/>
    <w:rsid w:val="0063648D"/>
    <w:rsid w:val="00640829"/>
    <w:rsid w:val="00643A8D"/>
    <w:rsid w:val="00646CC2"/>
    <w:rsid w:val="00646CEF"/>
    <w:rsid w:val="00647545"/>
    <w:rsid w:val="00651F49"/>
    <w:rsid w:val="00652950"/>
    <w:rsid w:val="00653981"/>
    <w:rsid w:val="00653FD5"/>
    <w:rsid w:val="00655820"/>
    <w:rsid w:val="00657A4D"/>
    <w:rsid w:val="00657B1A"/>
    <w:rsid w:val="006601A1"/>
    <w:rsid w:val="00660B9B"/>
    <w:rsid w:val="00661FE0"/>
    <w:rsid w:val="00662854"/>
    <w:rsid w:val="00664C1E"/>
    <w:rsid w:val="00665FC9"/>
    <w:rsid w:val="00671534"/>
    <w:rsid w:val="00673E7B"/>
    <w:rsid w:val="006747E2"/>
    <w:rsid w:val="0067496E"/>
    <w:rsid w:val="0067589D"/>
    <w:rsid w:val="00676E62"/>
    <w:rsid w:val="00677014"/>
    <w:rsid w:val="0069152C"/>
    <w:rsid w:val="006927DF"/>
    <w:rsid w:val="00695C85"/>
    <w:rsid w:val="00696E99"/>
    <w:rsid w:val="00697256"/>
    <w:rsid w:val="00697E6D"/>
    <w:rsid w:val="00697FA5"/>
    <w:rsid w:val="006A0F1C"/>
    <w:rsid w:val="006A19E1"/>
    <w:rsid w:val="006A2D56"/>
    <w:rsid w:val="006A4781"/>
    <w:rsid w:val="006B10F7"/>
    <w:rsid w:val="006B3BB6"/>
    <w:rsid w:val="006B3D44"/>
    <w:rsid w:val="006C0107"/>
    <w:rsid w:val="006C152B"/>
    <w:rsid w:val="006C2C98"/>
    <w:rsid w:val="006C4B29"/>
    <w:rsid w:val="006C517B"/>
    <w:rsid w:val="006C55B7"/>
    <w:rsid w:val="006C693C"/>
    <w:rsid w:val="006C7425"/>
    <w:rsid w:val="006D4CB3"/>
    <w:rsid w:val="006D5996"/>
    <w:rsid w:val="006D702B"/>
    <w:rsid w:val="006D7913"/>
    <w:rsid w:val="006E047E"/>
    <w:rsid w:val="006E0AA4"/>
    <w:rsid w:val="006E148D"/>
    <w:rsid w:val="006E2D15"/>
    <w:rsid w:val="006E4316"/>
    <w:rsid w:val="006E5FE6"/>
    <w:rsid w:val="006E703C"/>
    <w:rsid w:val="006E7934"/>
    <w:rsid w:val="006F183F"/>
    <w:rsid w:val="006F301F"/>
    <w:rsid w:val="006F36E4"/>
    <w:rsid w:val="006F7931"/>
    <w:rsid w:val="00700260"/>
    <w:rsid w:val="00700485"/>
    <w:rsid w:val="00700A82"/>
    <w:rsid w:val="00702685"/>
    <w:rsid w:val="007027B8"/>
    <w:rsid w:val="00703896"/>
    <w:rsid w:val="00703976"/>
    <w:rsid w:val="007056F2"/>
    <w:rsid w:val="0071032D"/>
    <w:rsid w:val="00710BD0"/>
    <w:rsid w:val="00712782"/>
    <w:rsid w:val="0071437D"/>
    <w:rsid w:val="00714D43"/>
    <w:rsid w:val="00715018"/>
    <w:rsid w:val="00715030"/>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5E3C"/>
    <w:rsid w:val="00740179"/>
    <w:rsid w:val="00740C78"/>
    <w:rsid w:val="00741498"/>
    <w:rsid w:val="00741DD4"/>
    <w:rsid w:val="00742C72"/>
    <w:rsid w:val="00745141"/>
    <w:rsid w:val="00745398"/>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AC8"/>
    <w:rsid w:val="0076724E"/>
    <w:rsid w:val="00767400"/>
    <w:rsid w:val="00767AC1"/>
    <w:rsid w:val="00770733"/>
    <w:rsid w:val="007713DC"/>
    <w:rsid w:val="00772927"/>
    <w:rsid w:val="00775E96"/>
    <w:rsid w:val="00777322"/>
    <w:rsid w:val="00780C7F"/>
    <w:rsid w:val="00780FF2"/>
    <w:rsid w:val="0078286E"/>
    <w:rsid w:val="00783A52"/>
    <w:rsid w:val="007917C1"/>
    <w:rsid w:val="00794A7D"/>
    <w:rsid w:val="007961FD"/>
    <w:rsid w:val="007A1EE6"/>
    <w:rsid w:val="007A3501"/>
    <w:rsid w:val="007A4CE8"/>
    <w:rsid w:val="007A72D6"/>
    <w:rsid w:val="007A7B40"/>
    <w:rsid w:val="007B00DF"/>
    <w:rsid w:val="007B0203"/>
    <w:rsid w:val="007B5088"/>
    <w:rsid w:val="007B50A0"/>
    <w:rsid w:val="007B712A"/>
    <w:rsid w:val="007B719B"/>
    <w:rsid w:val="007C1321"/>
    <w:rsid w:val="007C1D4F"/>
    <w:rsid w:val="007C275A"/>
    <w:rsid w:val="007C51AC"/>
    <w:rsid w:val="007C52DD"/>
    <w:rsid w:val="007C6451"/>
    <w:rsid w:val="007D1650"/>
    <w:rsid w:val="007D2EE9"/>
    <w:rsid w:val="007D4B9F"/>
    <w:rsid w:val="007D5169"/>
    <w:rsid w:val="007D582D"/>
    <w:rsid w:val="007D5956"/>
    <w:rsid w:val="007D5BC5"/>
    <w:rsid w:val="007D7D99"/>
    <w:rsid w:val="007E1B7B"/>
    <w:rsid w:val="007E292A"/>
    <w:rsid w:val="007E3EBE"/>
    <w:rsid w:val="007E45CA"/>
    <w:rsid w:val="007E4E27"/>
    <w:rsid w:val="007E6FE2"/>
    <w:rsid w:val="007F0B50"/>
    <w:rsid w:val="007F2244"/>
    <w:rsid w:val="007F2A13"/>
    <w:rsid w:val="007F4A19"/>
    <w:rsid w:val="007F7593"/>
    <w:rsid w:val="00800D31"/>
    <w:rsid w:val="008017CE"/>
    <w:rsid w:val="00803940"/>
    <w:rsid w:val="00804C07"/>
    <w:rsid w:val="00804D5F"/>
    <w:rsid w:val="00804D74"/>
    <w:rsid w:val="00806E04"/>
    <w:rsid w:val="00810161"/>
    <w:rsid w:val="00811579"/>
    <w:rsid w:val="00812AB3"/>
    <w:rsid w:val="008131CF"/>
    <w:rsid w:val="00813FEB"/>
    <w:rsid w:val="00814683"/>
    <w:rsid w:val="00814C2C"/>
    <w:rsid w:val="00814F13"/>
    <w:rsid w:val="00815678"/>
    <w:rsid w:val="00816AF7"/>
    <w:rsid w:val="00821193"/>
    <w:rsid w:val="00824068"/>
    <w:rsid w:val="00825F97"/>
    <w:rsid w:val="0083053F"/>
    <w:rsid w:val="0083164F"/>
    <w:rsid w:val="00832A21"/>
    <w:rsid w:val="008330EF"/>
    <w:rsid w:val="00833527"/>
    <w:rsid w:val="00834C95"/>
    <w:rsid w:val="00834CE6"/>
    <w:rsid w:val="00834EB4"/>
    <w:rsid w:val="0083673E"/>
    <w:rsid w:val="00837852"/>
    <w:rsid w:val="008403BB"/>
    <w:rsid w:val="0084100A"/>
    <w:rsid w:val="00841BCF"/>
    <w:rsid w:val="0084219E"/>
    <w:rsid w:val="00842A3B"/>
    <w:rsid w:val="00842FF3"/>
    <w:rsid w:val="00844DEA"/>
    <w:rsid w:val="00844EDA"/>
    <w:rsid w:val="0085006A"/>
    <w:rsid w:val="008515E8"/>
    <w:rsid w:val="00852775"/>
    <w:rsid w:val="00852D9F"/>
    <w:rsid w:val="008567AF"/>
    <w:rsid w:val="00857DB0"/>
    <w:rsid w:val="00864CEE"/>
    <w:rsid w:val="00870D20"/>
    <w:rsid w:val="008712BD"/>
    <w:rsid w:val="00872196"/>
    <w:rsid w:val="00874448"/>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82C"/>
    <w:rsid w:val="00895111"/>
    <w:rsid w:val="00895E88"/>
    <w:rsid w:val="008A03B2"/>
    <w:rsid w:val="008A1F25"/>
    <w:rsid w:val="008A20A9"/>
    <w:rsid w:val="008A214E"/>
    <w:rsid w:val="008A309C"/>
    <w:rsid w:val="008A4CB2"/>
    <w:rsid w:val="008A6916"/>
    <w:rsid w:val="008A753D"/>
    <w:rsid w:val="008A7825"/>
    <w:rsid w:val="008B3392"/>
    <w:rsid w:val="008C3765"/>
    <w:rsid w:val="008C4340"/>
    <w:rsid w:val="008C54E7"/>
    <w:rsid w:val="008D0997"/>
    <w:rsid w:val="008D52F9"/>
    <w:rsid w:val="008D546E"/>
    <w:rsid w:val="008D5686"/>
    <w:rsid w:val="008D5C35"/>
    <w:rsid w:val="008D5E3E"/>
    <w:rsid w:val="008D677E"/>
    <w:rsid w:val="008D7203"/>
    <w:rsid w:val="008D7943"/>
    <w:rsid w:val="008E00A7"/>
    <w:rsid w:val="008E4457"/>
    <w:rsid w:val="008F0945"/>
    <w:rsid w:val="008F0B9E"/>
    <w:rsid w:val="008F183E"/>
    <w:rsid w:val="008F2112"/>
    <w:rsid w:val="008F490D"/>
    <w:rsid w:val="008F721E"/>
    <w:rsid w:val="008F72F3"/>
    <w:rsid w:val="0090072B"/>
    <w:rsid w:val="00903CA0"/>
    <w:rsid w:val="00903FEA"/>
    <w:rsid w:val="00904212"/>
    <w:rsid w:val="00904FC1"/>
    <w:rsid w:val="00905962"/>
    <w:rsid w:val="00912613"/>
    <w:rsid w:val="00912F28"/>
    <w:rsid w:val="00912F85"/>
    <w:rsid w:val="00912FBD"/>
    <w:rsid w:val="00914E9A"/>
    <w:rsid w:val="009162EB"/>
    <w:rsid w:val="00916D64"/>
    <w:rsid w:val="00916F57"/>
    <w:rsid w:val="009217D0"/>
    <w:rsid w:val="00922DAD"/>
    <w:rsid w:val="00923EC4"/>
    <w:rsid w:val="00924EBB"/>
    <w:rsid w:val="00925B57"/>
    <w:rsid w:val="00926468"/>
    <w:rsid w:val="00926DED"/>
    <w:rsid w:val="00931E6C"/>
    <w:rsid w:val="00936401"/>
    <w:rsid w:val="00940770"/>
    <w:rsid w:val="00941DBA"/>
    <w:rsid w:val="009426FC"/>
    <w:rsid w:val="00944C9C"/>
    <w:rsid w:val="00945880"/>
    <w:rsid w:val="009461EA"/>
    <w:rsid w:val="009475B7"/>
    <w:rsid w:val="00950A25"/>
    <w:rsid w:val="00951F4A"/>
    <w:rsid w:val="00952B04"/>
    <w:rsid w:val="00954614"/>
    <w:rsid w:val="00955D1E"/>
    <w:rsid w:val="009566F9"/>
    <w:rsid w:val="009615DA"/>
    <w:rsid w:val="009626B1"/>
    <w:rsid w:val="00964E2E"/>
    <w:rsid w:val="009655FF"/>
    <w:rsid w:val="00971AFA"/>
    <w:rsid w:val="00974622"/>
    <w:rsid w:val="009779DE"/>
    <w:rsid w:val="00980F6C"/>
    <w:rsid w:val="00981293"/>
    <w:rsid w:val="009815BC"/>
    <w:rsid w:val="00982233"/>
    <w:rsid w:val="009840CA"/>
    <w:rsid w:val="0098534A"/>
    <w:rsid w:val="00985B43"/>
    <w:rsid w:val="00985B7A"/>
    <w:rsid w:val="0098705B"/>
    <w:rsid w:val="009875AD"/>
    <w:rsid w:val="00987C58"/>
    <w:rsid w:val="00991164"/>
    <w:rsid w:val="009916C8"/>
    <w:rsid w:val="00992595"/>
    <w:rsid w:val="009A21B0"/>
    <w:rsid w:val="009A470F"/>
    <w:rsid w:val="009A5045"/>
    <w:rsid w:val="009A6B77"/>
    <w:rsid w:val="009A7A7B"/>
    <w:rsid w:val="009B0232"/>
    <w:rsid w:val="009B0430"/>
    <w:rsid w:val="009B11FC"/>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57F6"/>
    <w:rsid w:val="009E5D20"/>
    <w:rsid w:val="009E698D"/>
    <w:rsid w:val="009F0376"/>
    <w:rsid w:val="009F0EDA"/>
    <w:rsid w:val="009F3379"/>
    <w:rsid w:val="009F4DE6"/>
    <w:rsid w:val="009F4E3F"/>
    <w:rsid w:val="009F52E0"/>
    <w:rsid w:val="009F53CB"/>
    <w:rsid w:val="00A03845"/>
    <w:rsid w:val="00A07E4A"/>
    <w:rsid w:val="00A13B13"/>
    <w:rsid w:val="00A1715F"/>
    <w:rsid w:val="00A178CE"/>
    <w:rsid w:val="00A17B8D"/>
    <w:rsid w:val="00A20724"/>
    <w:rsid w:val="00A21271"/>
    <w:rsid w:val="00A22587"/>
    <w:rsid w:val="00A22A60"/>
    <w:rsid w:val="00A22E0D"/>
    <w:rsid w:val="00A2326E"/>
    <w:rsid w:val="00A23A09"/>
    <w:rsid w:val="00A27CC2"/>
    <w:rsid w:val="00A3258F"/>
    <w:rsid w:val="00A3333B"/>
    <w:rsid w:val="00A33F8C"/>
    <w:rsid w:val="00A34AF6"/>
    <w:rsid w:val="00A35521"/>
    <w:rsid w:val="00A35C4D"/>
    <w:rsid w:val="00A3644A"/>
    <w:rsid w:val="00A43C53"/>
    <w:rsid w:val="00A43D56"/>
    <w:rsid w:val="00A44BC5"/>
    <w:rsid w:val="00A45718"/>
    <w:rsid w:val="00A45BAD"/>
    <w:rsid w:val="00A46704"/>
    <w:rsid w:val="00A50D67"/>
    <w:rsid w:val="00A518EF"/>
    <w:rsid w:val="00A51C43"/>
    <w:rsid w:val="00A5206D"/>
    <w:rsid w:val="00A5268E"/>
    <w:rsid w:val="00A6328E"/>
    <w:rsid w:val="00A63376"/>
    <w:rsid w:val="00A658D2"/>
    <w:rsid w:val="00A65BAD"/>
    <w:rsid w:val="00A65C62"/>
    <w:rsid w:val="00A668B9"/>
    <w:rsid w:val="00A7047B"/>
    <w:rsid w:val="00A750A5"/>
    <w:rsid w:val="00A81385"/>
    <w:rsid w:val="00A81431"/>
    <w:rsid w:val="00A82FF3"/>
    <w:rsid w:val="00A838F6"/>
    <w:rsid w:val="00A872CE"/>
    <w:rsid w:val="00A875C7"/>
    <w:rsid w:val="00A90CCD"/>
    <w:rsid w:val="00A90CD8"/>
    <w:rsid w:val="00A91A80"/>
    <w:rsid w:val="00A920C0"/>
    <w:rsid w:val="00A92451"/>
    <w:rsid w:val="00A93BAF"/>
    <w:rsid w:val="00A9669E"/>
    <w:rsid w:val="00AA2D05"/>
    <w:rsid w:val="00AA5586"/>
    <w:rsid w:val="00AA6F8A"/>
    <w:rsid w:val="00AA75F3"/>
    <w:rsid w:val="00AB0BBE"/>
    <w:rsid w:val="00AB114B"/>
    <w:rsid w:val="00AB422B"/>
    <w:rsid w:val="00AB4DA4"/>
    <w:rsid w:val="00AB4F94"/>
    <w:rsid w:val="00AC27EF"/>
    <w:rsid w:val="00AC33FB"/>
    <w:rsid w:val="00AC35F8"/>
    <w:rsid w:val="00AC5FA9"/>
    <w:rsid w:val="00AC7382"/>
    <w:rsid w:val="00AD2BE1"/>
    <w:rsid w:val="00AD4D38"/>
    <w:rsid w:val="00AD744A"/>
    <w:rsid w:val="00AE1FC7"/>
    <w:rsid w:val="00AE3AC9"/>
    <w:rsid w:val="00AE55F5"/>
    <w:rsid w:val="00AE6A4C"/>
    <w:rsid w:val="00AF0509"/>
    <w:rsid w:val="00AF144E"/>
    <w:rsid w:val="00AF20FA"/>
    <w:rsid w:val="00AF41E7"/>
    <w:rsid w:val="00AF4610"/>
    <w:rsid w:val="00AF6BBF"/>
    <w:rsid w:val="00AF74D9"/>
    <w:rsid w:val="00AF7924"/>
    <w:rsid w:val="00B02977"/>
    <w:rsid w:val="00B0379F"/>
    <w:rsid w:val="00B0463E"/>
    <w:rsid w:val="00B06DC5"/>
    <w:rsid w:val="00B07EAF"/>
    <w:rsid w:val="00B10F97"/>
    <w:rsid w:val="00B11965"/>
    <w:rsid w:val="00B1357F"/>
    <w:rsid w:val="00B1556E"/>
    <w:rsid w:val="00B15AB8"/>
    <w:rsid w:val="00B16338"/>
    <w:rsid w:val="00B1795C"/>
    <w:rsid w:val="00B22AF7"/>
    <w:rsid w:val="00B22B3A"/>
    <w:rsid w:val="00B23509"/>
    <w:rsid w:val="00B23D92"/>
    <w:rsid w:val="00B24E80"/>
    <w:rsid w:val="00B26D16"/>
    <w:rsid w:val="00B312A6"/>
    <w:rsid w:val="00B31E2E"/>
    <w:rsid w:val="00B32168"/>
    <w:rsid w:val="00B3290E"/>
    <w:rsid w:val="00B3779E"/>
    <w:rsid w:val="00B40F4F"/>
    <w:rsid w:val="00B43FE7"/>
    <w:rsid w:val="00B44805"/>
    <w:rsid w:val="00B46120"/>
    <w:rsid w:val="00B47038"/>
    <w:rsid w:val="00B4709D"/>
    <w:rsid w:val="00B50207"/>
    <w:rsid w:val="00B5042E"/>
    <w:rsid w:val="00B506C4"/>
    <w:rsid w:val="00B51339"/>
    <w:rsid w:val="00B53CF6"/>
    <w:rsid w:val="00B53E88"/>
    <w:rsid w:val="00B56F71"/>
    <w:rsid w:val="00B6002E"/>
    <w:rsid w:val="00B62A5A"/>
    <w:rsid w:val="00B634EF"/>
    <w:rsid w:val="00B642C7"/>
    <w:rsid w:val="00B64598"/>
    <w:rsid w:val="00B6671B"/>
    <w:rsid w:val="00B7091E"/>
    <w:rsid w:val="00B71067"/>
    <w:rsid w:val="00B73B3C"/>
    <w:rsid w:val="00B73D20"/>
    <w:rsid w:val="00B761FA"/>
    <w:rsid w:val="00B7634D"/>
    <w:rsid w:val="00B8178B"/>
    <w:rsid w:val="00B81835"/>
    <w:rsid w:val="00B8621D"/>
    <w:rsid w:val="00B877E0"/>
    <w:rsid w:val="00B87F22"/>
    <w:rsid w:val="00B90A9F"/>
    <w:rsid w:val="00B9112D"/>
    <w:rsid w:val="00B932D5"/>
    <w:rsid w:val="00B943FF"/>
    <w:rsid w:val="00B95E70"/>
    <w:rsid w:val="00B97B68"/>
    <w:rsid w:val="00B97DD0"/>
    <w:rsid w:val="00B97FA0"/>
    <w:rsid w:val="00BA0C7D"/>
    <w:rsid w:val="00BA17CD"/>
    <w:rsid w:val="00BA3368"/>
    <w:rsid w:val="00BA55C5"/>
    <w:rsid w:val="00BB07EE"/>
    <w:rsid w:val="00BB0D65"/>
    <w:rsid w:val="00BB21BC"/>
    <w:rsid w:val="00BB294A"/>
    <w:rsid w:val="00BB3471"/>
    <w:rsid w:val="00BB4D00"/>
    <w:rsid w:val="00BB5703"/>
    <w:rsid w:val="00BB60CA"/>
    <w:rsid w:val="00BB6957"/>
    <w:rsid w:val="00BB6C23"/>
    <w:rsid w:val="00BC1FA2"/>
    <w:rsid w:val="00BC27C8"/>
    <w:rsid w:val="00BC6FE3"/>
    <w:rsid w:val="00BC7CD1"/>
    <w:rsid w:val="00BC7F35"/>
    <w:rsid w:val="00BD0A32"/>
    <w:rsid w:val="00BD2BD6"/>
    <w:rsid w:val="00BE1380"/>
    <w:rsid w:val="00BE20DC"/>
    <w:rsid w:val="00BE6DCD"/>
    <w:rsid w:val="00BF2358"/>
    <w:rsid w:val="00BF4174"/>
    <w:rsid w:val="00BF4757"/>
    <w:rsid w:val="00BF7C4C"/>
    <w:rsid w:val="00C007C1"/>
    <w:rsid w:val="00C01A36"/>
    <w:rsid w:val="00C02E3F"/>
    <w:rsid w:val="00C10D2C"/>
    <w:rsid w:val="00C10F12"/>
    <w:rsid w:val="00C11728"/>
    <w:rsid w:val="00C11D76"/>
    <w:rsid w:val="00C14AC0"/>
    <w:rsid w:val="00C204DE"/>
    <w:rsid w:val="00C2547D"/>
    <w:rsid w:val="00C25AD9"/>
    <w:rsid w:val="00C31AEF"/>
    <w:rsid w:val="00C31D7C"/>
    <w:rsid w:val="00C33D63"/>
    <w:rsid w:val="00C35185"/>
    <w:rsid w:val="00C35A0B"/>
    <w:rsid w:val="00C36F40"/>
    <w:rsid w:val="00C37212"/>
    <w:rsid w:val="00C41B60"/>
    <w:rsid w:val="00C438AC"/>
    <w:rsid w:val="00C45106"/>
    <w:rsid w:val="00C464E6"/>
    <w:rsid w:val="00C508A1"/>
    <w:rsid w:val="00C51BD8"/>
    <w:rsid w:val="00C51DD4"/>
    <w:rsid w:val="00C543A0"/>
    <w:rsid w:val="00C5578A"/>
    <w:rsid w:val="00C55800"/>
    <w:rsid w:val="00C55C78"/>
    <w:rsid w:val="00C57B8E"/>
    <w:rsid w:val="00C6070E"/>
    <w:rsid w:val="00C63261"/>
    <w:rsid w:val="00C676DD"/>
    <w:rsid w:val="00C70B7C"/>
    <w:rsid w:val="00C71896"/>
    <w:rsid w:val="00C72170"/>
    <w:rsid w:val="00C73841"/>
    <w:rsid w:val="00C73BF2"/>
    <w:rsid w:val="00C75713"/>
    <w:rsid w:val="00C812A8"/>
    <w:rsid w:val="00C81BF2"/>
    <w:rsid w:val="00C833DA"/>
    <w:rsid w:val="00C834F7"/>
    <w:rsid w:val="00C87D45"/>
    <w:rsid w:val="00C9063F"/>
    <w:rsid w:val="00C91547"/>
    <w:rsid w:val="00C93F94"/>
    <w:rsid w:val="00C941CA"/>
    <w:rsid w:val="00C9695A"/>
    <w:rsid w:val="00C96D17"/>
    <w:rsid w:val="00C9718E"/>
    <w:rsid w:val="00CA2459"/>
    <w:rsid w:val="00CA4520"/>
    <w:rsid w:val="00CA4786"/>
    <w:rsid w:val="00CA5211"/>
    <w:rsid w:val="00CA73D1"/>
    <w:rsid w:val="00CB01BC"/>
    <w:rsid w:val="00CB312B"/>
    <w:rsid w:val="00CB3F28"/>
    <w:rsid w:val="00CB6616"/>
    <w:rsid w:val="00CC00DA"/>
    <w:rsid w:val="00CC36DE"/>
    <w:rsid w:val="00CC467D"/>
    <w:rsid w:val="00CC651D"/>
    <w:rsid w:val="00CD0ACC"/>
    <w:rsid w:val="00CD1677"/>
    <w:rsid w:val="00CD2419"/>
    <w:rsid w:val="00CD6D30"/>
    <w:rsid w:val="00CE0EF3"/>
    <w:rsid w:val="00CE1E4D"/>
    <w:rsid w:val="00CE4700"/>
    <w:rsid w:val="00CE4D8C"/>
    <w:rsid w:val="00CE64B8"/>
    <w:rsid w:val="00CF1145"/>
    <w:rsid w:val="00CF1B5D"/>
    <w:rsid w:val="00CF3195"/>
    <w:rsid w:val="00CF3FF0"/>
    <w:rsid w:val="00CF5077"/>
    <w:rsid w:val="00CF5A01"/>
    <w:rsid w:val="00CF5D7B"/>
    <w:rsid w:val="00D0320F"/>
    <w:rsid w:val="00D03DC8"/>
    <w:rsid w:val="00D077DD"/>
    <w:rsid w:val="00D10308"/>
    <w:rsid w:val="00D108F7"/>
    <w:rsid w:val="00D116B2"/>
    <w:rsid w:val="00D134C6"/>
    <w:rsid w:val="00D136A9"/>
    <w:rsid w:val="00D14647"/>
    <w:rsid w:val="00D162A0"/>
    <w:rsid w:val="00D2056D"/>
    <w:rsid w:val="00D21755"/>
    <w:rsid w:val="00D21D94"/>
    <w:rsid w:val="00D2407C"/>
    <w:rsid w:val="00D24668"/>
    <w:rsid w:val="00D24CA6"/>
    <w:rsid w:val="00D273A2"/>
    <w:rsid w:val="00D30632"/>
    <w:rsid w:val="00D31549"/>
    <w:rsid w:val="00D330EE"/>
    <w:rsid w:val="00D33F3B"/>
    <w:rsid w:val="00D4004F"/>
    <w:rsid w:val="00D40DD7"/>
    <w:rsid w:val="00D42DD4"/>
    <w:rsid w:val="00D43549"/>
    <w:rsid w:val="00D45206"/>
    <w:rsid w:val="00D512E8"/>
    <w:rsid w:val="00D547BD"/>
    <w:rsid w:val="00D5571C"/>
    <w:rsid w:val="00D557E0"/>
    <w:rsid w:val="00D57DD6"/>
    <w:rsid w:val="00D6107C"/>
    <w:rsid w:val="00D64F89"/>
    <w:rsid w:val="00D6629D"/>
    <w:rsid w:val="00D72FEC"/>
    <w:rsid w:val="00D734B2"/>
    <w:rsid w:val="00D74FB3"/>
    <w:rsid w:val="00D755FD"/>
    <w:rsid w:val="00D76D50"/>
    <w:rsid w:val="00D81E73"/>
    <w:rsid w:val="00D85334"/>
    <w:rsid w:val="00D8623A"/>
    <w:rsid w:val="00D86E12"/>
    <w:rsid w:val="00D87099"/>
    <w:rsid w:val="00D87162"/>
    <w:rsid w:val="00D8724A"/>
    <w:rsid w:val="00D951A9"/>
    <w:rsid w:val="00D95C00"/>
    <w:rsid w:val="00D96564"/>
    <w:rsid w:val="00DA20A7"/>
    <w:rsid w:val="00DA260C"/>
    <w:rsid w:val="00DA4264"/>
    <w:rsid w:val="00DA6424"/>
    <w:rsid w:val="00DB194C"/>
    <w:rsid w:val="00DB19C7"/>
    <w:rsid w:val="00DB47A6"/>
    <w:rsid w:val="00DB4C91"/>
    <w:rsid w:val="00DB6A19"/>
    <w:rsid w:val="00DB6DCB"/>
    <w:rsid w:val="00DB7801"/>
    <w:rsid w:val="00DC68C6"/>
    <w:rsid w:val="00DC7A60"/>
    <w:rsid w:val="00DD01E9"/>
    <w:rsid w:val="00DD10A1"/>
    <w:rsid w:val="00DD316C"/>
    <w:rsid w:val="00DD7BE3"/>
    <w:rsid w:val="00DE14FC"/>
    <w:rsid w:val="00DE31AE"/>
    <w:rsid w:val="00DE32DF"/>
    <w:rsid w:val="00DE4065"/>
    <w:rsid w:val="00DE6A65"/>
    <w:rsid w:val="00DE74E3"/>
    <w:rsid w:val="00DE79DA"/>
    <w:rsid w:val="00DF22C0"/>
    <w:rsid w:val="00DF2D30"/>
    <w:rsid w:val="00DF35DF"/>
    <w:rsid w:val="00DF3E36"/>
    <w:rsid w:val="00DF5A22"/>
    <w:rsid w:val="00E00514"/>
    <w:rsid w:val="00E02BB7"/>
    <w:rsid w:val="00E02F6C"/>
    <w:rsid w:val="00E03A96"/>
    <w:rsid w:val="00E04B8E"/>
    <w:rsid w:val="00E05504"/>
    <w:rsid w:val="00E06F07"/>
    <w:rsid w:val="00E07714"/>
    <w:rsid w:val="00E122E3"/>
    <w:rsid w:val="00E12946"/>
    <w:rsid w:val="00E1312B"/>
    <w:rsid w:val="00E13747"/>
    <w:rsid w:val="00E137CF"/>
    <w:rsid w:val="00E13CD6"/>
    <w:rsid w:val="00E16618"/>
    <w:rsid w:val="00E21D3D"/>
    <w:rsid w:val="00E22A3B"/>
    <w:rsid w:val="00E24BE3"/>
    <w:rsid w:val="00E252E8"/>
    <w:rsid w:val="00E2700F"/>
    <w:rsid w:val="00E2745B"/>
    <w:rsid w:val="00E27C4D"/>
    <w:rsid w:val="00E27FA0"/>
    <w:rsid w:val="00E31344"/>
    <w:rsid w:val="00E353DA"/>
    <w:rsid w:val="00E37010"/>
    <w:rsid w:val="00E37B67"/>
    <w:rsid w:val="00E40237"/>
    <w:rsid w:val="00E43F23"/>
    <w:rsid w:val="00E44FB1"/>
    <w:rsid w:val="00E4606E"/>
    <w:rsid w:val="00E47E0A"/>
    <w:rsid w:val="00E51086"/>
    <w:rsid w:val="00E524DD"/>
    <w:rsid w:val="00E52DE7"/>
    <w:rsid w:val="00E57247"/>
    <w:rsid w:val="00E577D4"/>
    <w:rsid w:val="00E57ACE"/>
    <w:rsid w:val="00E60EB2"/>
    <w:rsid w:val="00E61365"/>
    <w:rsid w:val="00E63B8F"/>
    <w:rsid w:val="00E65494"/>
    <w:rsid w:val="00E65C6D"/>
    <w:rsid w:val="00E66A47"/>
    <w:rsid w:val="00E71965"/>
    <w:rsid w:val="00E739C4"/>
    <w:rsid w:val="00E752D3"/>
    <w:rsid w:val="00E764B2"/>
    <w:rsid w:val="00E77B9D"/>
    <w:rsid w:val="00E80930"/>
    <w:rsid w:val="00E84291"/>
    <w:rsid w:val="00E84E17"/>
    <w:rsid w:val="00E84F2B"/>
    <w:rsid w:val="00E85690"/>
    <w:rsid w:val="00E927F2"/>
    <w:rsid w:val="00EA3F78"/>
    <w:rsid w:val="00EB149D"/>
    <w:rsid w:val="00EB1D43"/>
    <w:rsid w:val="00EB44C9"/>
    <w:rsid w:val="00EB48CE"/>
    <w:rsid w:val="00EB626F"/>
    <w:rsid w:val="00EC0462"/>
    <w:rsid w:val="00EC05BC"/>
    <w:rsid w:val="00EC2226"/>
    <w:rsid w:val="00EC22FB"/>
    <w:rsid w:val="00EC621B"/>
    <w:rsid w:val="00EC6B10"/>
    <w:rsid w:val="00ED12A0"/>
    <w:rsid w:val="00ED14E5"/>
    <w:rsid w:val="00ED28A8"/>
    <w:rsid w:val="00ED2BD0"/>
    <w:rsid w:val="00ED528B"/>
    <w:rsid w:val="00ED69C3"/>
    <w:rsid w:val="00EE06BA"/>
    <w:rsid w:val="00EE5044"/>
    <w:rsid w:val="00EE7D23"/>
    <w:rsid w:val="00EF082E"/>
    <w:rsid w:val="00EF0EC5"/>
    <w:rsid w:val="00EF3575"/>
    <w:rsid w:val="00EF3FB8"/>
    <w:rsid w:val="00EF64AA"/>
    <w:rsid w:val="00EF7388"/>
    <w:rsid w:val="00EF7717"/>
    <w:rsid w:val="00EF7E31"/>
    <w:rsid w:val="00F031D1"/>
    <w:rsid w:val="00F03295"/>
    <w:rsid w:val="00F04977"/>
    <w:rsid w:val="00F07449"/>
    <w:rsid w:val="00F11180"/>
    <w:rsid w:val="00F11229"/>
    <w:rsid w:val="00F1260D"/>
    <w:rsid w:val="00F12DC3"/>
    <w:rsid w:val="00F14FEF"/>
    <w:rsid w:val="00F16345"/>
    <w:rsid w:val="00F16A67"/>
    <w:rsid w:val="00F221C3"/>
    <w:rsid w:val="00F22949"/>
    <w:rsid w:val="00F22EB7"/>
    <w:rsid w:val="00F2608C"/>
    <w:rsid w:val="00F267EC"/>
    <w:rsid w:val="00F31080"/>
    <w:rsid w:val="00F312FA"/>
    <w:rsid w:val="00F31816"/>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81E"/>
    <w:rsid w:val="00F656EA"/>
    <w:rsid w:val="00F66D53"/>
    <w:rsid w:val="00F73294"/>
    <w:rsid w:val="00F74185"/>
    <w:rsid w:val="00F761B1"/>
    <w:rsid w:val="00F8034A"/>
    <w:rsid w:val="00F81784"/>
    <w:rsid w:val="00F82A2C"/>
    <w:rsid w:val="00F8552D"/>
    <w:rsid w:val="00F85F45"/>
    <w:rsid w:val="00F904AD"/>
    <w:rsid w:val="00F9058B"/>
    <w:rsid w:val="00F94FD4"/>
    <w:rsid w:val="00F95A8A"/>
    <w:rsid w:val="00F95FB7"/>
    <w:rsid w:val="00F9611B"/>
    <w:rsid w:val="00F96236"/>
    <w:rsid w:val="00FA0ACE"/>
    <w:rsid w:val="00FA14FB"/>
    <w:rsid w:val="00FA1AA6"/>
    <w:rsid w:val="00FA1E3D"/>
    <w:rsid w:val="00FA2BC3"/>
    <w:rsid w:val="00FA4D35"/>
    <w:rsid w:val="00FA54B1"/>
    <w:rsid w:val="00FB06D5"/>
    <w:rsid w:val="00FB1673"/>
    <w:rsid w:val="00FB1F29"/>
    <w:rsid w:val="00FB3171"/>
    <w:rsid w:val="00FB3B26"/>
    <w:rsid w:val="00FB4ED9"/>
    <w:rsid w:val="00FB57BB"/>
    <w:rsid w:val="00FB5C33"/>
    <w:rsid w:val="00FC08AA"/>
    <w:rsid w:val="00FC1AF4"/>
    <w:rsid w:val="00FC27E6"/>
    <w:rsid w:val="00FC4EC3"/>
    <w:rsid w:val="00FC5A20"/>
    <w:rsid w:val="00FC7C33"/>
    <w:rsid w:val="00FD1724"/>
    <w:rsid w:val="00FD377A"/>
    <w:rsid w:val="00FD3795"/>
    <w:rsid w:val="00FD4566"/>
    <w:rsid w:val="00FD4A9B"/>
    <w:rsid w:val="00FD4CA6"/>
    <w:rsid w:val="00FD531B"/>
    <w:rsid w:val="00FD6E71"/>
    <w:rsid w:val="00FD71B0"/>
    <w:rsid w:val="00FE0FD0"/>
    <w:rsid w:val="00FE41A9"/>
    <w:rsid w:val="00FE44B6"/>
    <w:rsid w:val="00FE5B08"/>
    <w:rsid w:val="00FE73F0"/>
    <w:rsid w:val="00FF3215"/>
    <w:rsid w:val="00FF3DAC"/>
    <w:rsid w:val="00FF4241"/>
    <w:rsid w:val="00FF56CC"/>
    <w:rsid w:val="00FF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69169C-5F81-4B76-A0DB-9449B5F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1">
                <a:latin typeface="Times New Roman" pitchFamily="18" charset="0"/>
                <a:cs typeface="Times New Roman" pitchFamily="18" charset="0"/>
              </a:rPr>
              <a:t>Кількість адміністративних справ</a:t>
            </a:r>
          </a:p>
        </c:rich>
      </c:tx>
      <c:layout>
        <c:manualLayout>
          <c:xMode val="edge"/>
          <c:yMode val="edge"/>
          <c:x val="0.32972512764262674"/>
          <c:y val="4.6751510712323752E-2"/>
        </c:manualLayout>
      </c:layout>
      <c:overlay val="0"/>
    </c:title>
    <c:autoTitleDeleted val="0"/>
    <c:plotArea>
      <c:layout/>
      <c:barChart>
        <c:barDir val="col"/>
        <c:grouping val="clustered"/>
        <c:varyColors val="0"/>
        <c:ser>
          <c:idx val="0"/>
          <c:order val="0"/>
          <c:tx>
            <c:strRef>
              <c:f>Лист1!$B$1</c:f>
              <c:strCache>
                <c:ptCount val="1"/>
                <c:pt idx="0">
                  <c:v>Кількість позовних заяв</c:v>
                </c:pt>
              </c:strCache>
            </c:strRef>
          </c:tx>
          <c:invertIfNegative val="0"/>
          <c:dLbls>
            <c:dLbl>
              <c:idx val="0"/>
              <c:layout>
                <c:manualLayout>
                  <c:x val="6.9499916180548451E-3"/>
                  <c:y val="-5.84395983036865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66638726849088E-3"/>
                  <c:y val="-1.753187949110633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66638726849088E-3"/>
                  <c:y val="2.33758393214748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9499916180548226E-3"/>
                  <c:y val="-1.168791966073765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31">
                <a:noFill/>
              </a:ln>
            </c:spPr>
            <c:txPr>
              <a:bodyPr/>
              <a:lstStyle/>
              <a:p>
                <a:pPr>
                  <a:defRPr sz="100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рік</c:v>
                </c:pt>
                <c:pt idx="1">
                  <c:v>2018 рік</c:v>
                </c:pt>
              </c:strCache>
            </c:strRef>
          </c:cat>
          <c:val>
            <c:numRef>
              <c:f>Лист1!$B$2:$B$3</c:f>
              <c:numCache>
                <c:formatCode>General</c:formatCode>
                <c:ptCount val="2"/>
                <c:pt idx="0">
                  <c:v>1826</c:v>
                </c:pt>
                <c:pt idx="1">
                  <c:v>2086</c:v>
                </c:pt>
              </c:numCache>
            </c:numRef>
          </c:val>
        </c:ser>
        <c:dLbls>
          <c:showLegendKey val="0"/>
          <c:showVal val="0"/>
          <c:showCatName val="0"/>
          <c:showSerName val="0"/>
          <c:showPercent val="0"/>
          <c:showBubbleSize val="0"/>
        </c:dLbls>
        <c:gapWidth val="75"/>
        <c:axId val="-703327296"/>
        <c:axId val="-703341984"/>
      </c:barChart>
      <c:catAx>
        <c:axId val="-70332729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03341984"/>
        <c:crosses val="autoZero"/>
        <c:auto val="1"/>
        <c:lblAlgn val="ctr"/>
        <c:lblOffset val="100"/>
        <c:noMultiLvlLbl val="0"/>
      </c:catAx>
      <c:valAx>
        <c:axId val="-703341984"/>
        <c:scaling>
          <c:orientation val="minMax"/>
        </c:scaling>
        <c:delete val="0"/>
        <c:axPos val="l"/>
        <c:majorGridlines/>
        <c:numFmt formatCode="General" sourceLinked="1"/>
        <c:majorTickMark val="none"/>
        <c:minorTickMark val="none"/>
        <c:tickLblPos val="nextTo"/>
        <c:spPr>
          <a:ln w="9537">
            <a:noFill/>
          </a:ln>
        </c:spPr>
        <c:txPr>
          <a:bodyPr/>
          <a:lstStyle/>
          <a:p>
            <a:pPr>
              <a:defRPr>
                <a:latin typeface="Times New Roman" pitchFamily="18" charset="0"/>
                <a:cs typeface="Times New Roman" pitchFamily="18" charset="0"/>
              </a:defRPr>
            </a:pPr>
            <a:endParaRPr lang="ru-RU"/>
          </a:p>
        </c:txPr>
        <c:crossAx val="-7033272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2F38-1CED-49FC-AB99-B18B810B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5350</TotalTime>
  <Pages>7</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Вороніна Вікторія Лойзевна</cp:lastModifiedBy>
  <cp:revision>425</cp:revision>
  <cp:lastPrinted>2018-07-11T14:37:00Z</cp:lastPrinted>
  <dcterms:created xsi:type="dcterms:W3CDTF">2012-01-30T14:12:00Z</dcterms:created>
  <dcterms:modified xsi:type="dcterms:W3CDTF">2018-07-20T07:13:00Z</dcterms:modified>
</cp:coreProperties>
</file>