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2E" w:rsidRPr="0082492E" w:rsidRDefault="00A84589" w:rsidP="0066212E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ОГЛЯД</w:t>
      </w:r>
      <w:r w:rsidR="0066212E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ДАНИХ ПРО СТАН ЗДІЙСНЕННЯ СУДОЧИНСТВА</w:t>
      </w:r>
    </w:p>
    <w:p w:rsidR="0066212E" w:rsidRPr="0082492E" w:rsidRDefault="0024570A" w:rsidP="0066212E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ЧЕРНІВЕЦЬКИМ</w:t>
      </w:r>
      <w:r w:rsidR="0066212E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ОКРУЖНИМ АДМІНІСТРАТИВНИМ СУДОМ</w:t>
      </w:r>
    </w:p>
    <w:p w:rsidR="0066212E" w:rsidRPr="0082492E" w:rsidRDefault="0066212E" w:rsidP="0066212E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</w:t>
      </w:r>
      <w:r w:rsidR="00F30B20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2017 Р</w:t>
      </w:r>
      <w:r w:rsidR="00A010E3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ІК</w:t>
      </w:r>
    </w:p>
    <w:p w:rsidR="00876A3F" w:rsidRPr="0082492E" w:rsidRDefault="00876A3F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A230C" w:rsidRPr="0082492E" w:rsidRDefault="000F1D46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Аналізуючи стан здійснення судочинства Чернівецьким окружним адміністративним судом </w:t>
      </w:r>
      <w:r w:rsidR="00AC0E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наводимо</w:t>
      </w:r>
      <w:r w:rsidR="002A13DD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B059D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динаміку надходження </w:t>
      </w:r>
      <w:r w:rsidR="00D14A8D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 перебування на розгляді у суд</w:t>
      </w:r>
      <w:r w:rsidR="00172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  <w:r w:rsidR="00D14A8D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B059D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адміністративних справ та матеріалів </w:t>
      </w:r>
      <w:r w:rsidR="00FA230C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впродовж останніх</w:t>
      </w:r>
      <w:r w:rsidR="00D30EF7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чотирьох</w:t>
      </w:r>
      <w:r w:rsidR="00FA230C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років (</w:t>
      </w:r>
      <w:r w:rsidR="00D30EF7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Графік 1</w:t>
      </w:r>
      <w:r w:rsidR="00FA230C"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FA230C" w:rsidRPr="0082492E" w:rsidRDefault="00FA230C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A230C" w:rsidRPr="0082492E" w:rsidRDefault="00FA230C" w:rsidP="00D30EF7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492E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uk-UA"/>
        </w:rPr>
        <w:drawing>
          <wp:inline distT="0" distB="0" distL="0" distR="0" wp14:anchorId="2E8D563A" wp14:editId="7F31C7A2">
            <wp:extent cx="6527800" cy="3115733"/>
            <wp:effectExtent l="0" t="0" r="25400" b="279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30C" w:rsidRPr="0082492E" w:rsidRDefault="00D30EF7" w:rsidP="00D30EF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24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Графік 1</w:t>
      </w:r>
    </w:p>
    <w:p w:rsidR="00D30EF7" w:rsidRPr="0082492E" w:rsidRDefault="00D30EF7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0CB7" w:rsidRPr="0082492E" w:rsidRDefault="00536B8F" w:rsidP="00B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ab/>
        <w:t xml:space="preserve">Згідно 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і</w:t>
      </w: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з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наведеної інформації вбачається тенденція до зменшення </w:t>
      </w:r>
      <w:r w:rsidR="00D14A8D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кількості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адміністративних справ</w:t>
      </w:r>
      <w:r w:rsidR="00D14A8D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, які перебували на розгляді у суддів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. </w:t>
      </w:r>
      <w:r w:rsidR="00C16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У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2016 році</w:t>
      </w:r>
      <w:r w:rsidR="00D14A8D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, на розгляді у суддів Чернівецького окружного адміністративного суду перебувало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C16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найменше </w:t>
      </w:r>
      <w:r w:rsidR="00010CB7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справ та матеріалів лише </w:t>
      </w:r>
      <w:r w:rsidR="00FB2208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1396</w:t>
      </w:r>
      <w:r w:rsidR="00EB6D16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одиниць.</w:t>
      </w:r>
      <w:r w:rsidR="00B640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A43224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Разом з тим, </w:t>
      </w:r>
      <w:r w:rsidR="00C16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в</w:t>
      </w:r>
      <w:r w:rsidR="00FB2208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2017 року спостерігається </w:t>
      </w:r>
      <w:r w:rsidR="00D14A8D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позитивн</w:t>
      </w:r>
      <w:r w:rsidR="00FB2208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а</w:t>
      </w:r>
      <w:r w:rsidR="00D14A8D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динамік</w:t>
      </w:r>
      <w:r w:rsidR="002C5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а</w:t>
      </w:r>
      <w:r w:rsidR="00D14A8D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щодо </w:t>
      </w:r>
      <w:r w:rsidR="00D14A8D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збільшення</w:t>
      </w:r>
      <w:r w:rsidR="00876A3F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кількості справ </w:t>
      </w:r>
      <w:r w:rsidR="002C5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й матеріалів, </w:t>
      </w:r>
      <w:r w:rsidR="00023532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даний </w:t>
      </w:r>
      <w:r w:rsidR="009058E4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показник складає </w:t>
      </w:r>
      <w:r w:rsidR="00FB2208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1625</w:t>
      </w:r>
      <w:r w:rsidR="00FB2208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одиниць</w:t>
      </w:r>
      <w:r w:rsidR="00EA3D03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.</w:t>
      </w:r>
    </w:p>
    <w:p w:rsidR="002442CA" w:rsidRPr="0082492E" w:rsidRDefault="00876A3F" w:rsidP="00244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Щодо </w:t>
      </w:r>
      <w:r w:rsidR="00125F09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кількост</w:t>
      </w:r>
      <w:r w:rsidR="00125F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і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розглянутих справ</w:t>
      </w: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і матеріалів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у звітному період</w:t>
      </w:r>
      <w:r w:rsidR="002C5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і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,</w:t>
      </w:r>
      <w:r w:rsidR="00AF5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варто відзначити, що вказаний показник у 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2017 р</w:t>
      </w:r>
      <w:r w:rsidR="00AF5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оці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5B604E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збільшився в</w:t>
      </w:r>
      <w:r w:rsidR="005B604E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5B604E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1,</w:t>
      </w:r>
      <w:r w:rsidR="00EA3D03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3</w:t>
      </w:r>
      <w:r w:rsidR="005B604E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рази</w:t>
      </w:r>
      <w:r w:rsidR="005B604E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у порівнянні з аналогічним періодом 2016 року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(Графік </w:t>
      </w:r>
      <w:r w:rsidR="005B604E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2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).</w:t>
      </w:r>
    </w:p>
    <w:p w:rsidR="00EB6D16" w:rsidRPr="0082492E" w:rsidRDefault="00EB6D16" w:rsidP="00244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2442CA" w:rsidRPr="0082492E" w:rsidRDefault="002442CA" w:rsidP="0024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uk-UA"/>
        </w:rPr>
        <w:drawing>
          <wp:inline distT="0" distB="0" distL="0" distR="0" wp14:anchorId="33C48684" wp14:editId="156948C0">
            <wp:extent cx="5740400" cy="2260600"/>
            <wp:effectExtent l="0" t="0" r="127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2CA" w:rsidRPr="0082492E" w:rsidRDefault="002442CA" w:rsidP="0024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     </w:t>
      </w:r>
      <w:r w:rsidRPr="008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Графік </w:t>
      </w:r>
      <w:r w:rsidR="00DC645B" w:rsidRPr="008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2</w:t>
      </w:r>
    </w:p>
    <w:p w:rsidR="002442CA" w:rsidRPr="0082492E" w:rsidRDefault="002442CA" w:rsidP="0024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2442CA" w:rsidRPr="0082492E" w:rsidRDefault="003F2D39" w:rsidP="00AA7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оказник</w:t>
      </w: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и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середньомісячного надходження</w:t>
      </w: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та розгляду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справ та матеріалів на розгляд </w:t>
      </w:r>
      <w:r w:rsidR="004A1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на</w:t>
      </w:r>
      <w:r w:rsidR="002442C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одного судд</w:t>
      </w:r>
      <w:r w:rsidR="00AA731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ю у розрізі останніх чотирьох років виглядают</w:t>
      </w:r>
      <w:r w:rsidR="008516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ь</w:t>
      </w:r>
      <w:r w:rsidR="00AA731A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наступним чином (Графік 3):</w:t>
      </w: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</w:p>
    <w:p w:rsidR="002442CA" w:rsidRPr="0082492E" w:rsidRDefault="002442CA" w:rsidP="0024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2442CA" w:rsidRPr="0082492E" w:rsidRDefault="002442CA" w:rsidP="0024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uk-UA"/>
        </w:rPr>
        <w:drawing>
          <wp:inline distT="0" distB="0" distL="0" distR="0" wp14:anchorId="0318BC94" wp14:editId="67073089">
            <wp:extent cx="6180666" cy="2937933"/>
            <wp:effectExtent l="0" t="0" r="10795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2CA" w:rsidRPr="0082492E" w:rsidRDefault="002442CA" w:rsidP="002442CA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Графік </w:t>
      </w:r>
      <w:r w:rsidR="0071628D" w:rsidRPr="008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3</w:t>
      </w:r>
    </w:p>
    <w:p w:rsidR="002442CA" w:rsidRPr="0082492E" w:rsidRDefault="002442CA" w:rsidP="0024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194248" w:rsidRDefault="002442CA" w:rsidP="000B1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Водночас </w:t>
      </w:r>
      <w:r w:rsidR="00296264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при визначен</w:t>
      </w:r>
      <w:r w:rsidR="00ED49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н</w:t>
      </w:r>
      <w:r w:rsidR="00296264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і середнього навантаження на суддю варто </w:t>
      </w:r>
      <w:r w:rsidR="00B640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зазначити</w:t>
      </w:r>
      <w:r w:rsidR="00296264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кіл</w:t>
      </w:r>
      <w:r w:rsidR="004859B8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ькісний склад суддів у суді. Так,</w:t>
      </w:r>
      <w:r w:rsidR="00296264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194248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станом на 31 грудня 2017 року</w:t>
      </w:r>
      <w:r w:rsidR="00194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штатна чисельність </w:t>
      </w:r>
      <w:r w:rsidR="00194248" w:rsidRPr="003926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суддів становить</w:t>
      </w:r>
      <w:r w:rsidR="00194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– 12, фактична чисельність – 9, з них здійснюють правосуддя – 6 </w:t>
      </w:r>
      <w:r w:rsidR="00B640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суддів</w:t>
      </w:r>
      <w:r w:rsidR="00194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.</w:t>
      </w:r>
    </w:p>
    <w:p w:rsidR="00392649" w:rsidRDefault="004E0492" w:rsidP="00392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В 2016 році, на кінець року, </w:t>
      </w:r>
      <w:r w:rsidR="000B1FDB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при штатній чисельності суддів – 15, фактична чисельність складала – 10, </w:t>
      </w:r>
      <w:r w:rsidR="000B1FDB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при </w:t>
      </w:r>
      <w:r w:rsidR="00F34D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цьому кількість судді, які здійснювали </w:t>
      </w:r>
      <w:r w:rsidR="000B1FDB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правосуддя </w:t>
      </w:r>
      <w:r w:rsidR="000B1FDB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– </w:t>
      </w:r>
      <w:r w:rsidR="000B1FDB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4 </w:t>
      </w:r>
      <w:r w:rsidR="00D90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суддів</w:t>
      </w:r>
      <w:r w:rsidR="000B1FDB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.</w:t>
      </w:r>
    </w:p>
    <w:p w:rsidR="004C1C0B" w:rsidRPr="0082492E" w:rsidRDefault="00392649" w:rsidP="003926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Однак, не</w:t>
      </w:r>
      <w:r w:rsidR="00D17061" w:rsidRPr="0082492E">
        <w:rPr>
          <w:rFonts w:ascii="Times New Roman" w:hAnsi="Times New Roman" w:cs="Times New Roman"/>
          <w:sz w:val="26"/>
          <w:szCs w:val="26"/>
        </w:rPr>
        <w:t xml:space="preserve">зважаючи на ряд факторів, які вплинули на зменшення надходжень до суду справ та матеріалів в останні два роки, </w:t>
      </w:r>
      <w:r w:rsidR="004C1C0B" w:rsidRPr="0082492E">
        <w:rPr>
          <w:rFonts w:ascii="Times New Roman" w:hAnsi="Times New Roman" w:cs="Times New Roman"/>
          <w:sz w:val="26"/>
          <w:szCs w:val="26"/>
        </w:rPr>
        <w:t xml:space="preserve">починаючи з 2017 року </w:t>
      </w:r>
      <w:r w:rsidR="00D17061" w:rsidRPr="0082492E">
        <w:rPr>
          <w:rFonts w:ascii="Times New Roman" w:hAnsi="Times New Roman" w:cs="Times New Roman"/>
          <w:sz w:val="26"/>
          <w:szCs w:val="26"/>
        </w:rPr>
        <w:t>спостерігається позитивна динаміка щодо</w:t>
      </w:r>
      <w:r w:rsidR="004C1C0B" w:rsidRPr="0082492E">
        <w:rPr>
          <w:rFonts w:ascii="Times New Roman" w:hAnsi="Times New Roman" w:cs="Times New Roman"/>
          <w:sz w:val="26"/>
          <w:szCs w:val="26"/>
        </w:rPr>
        <w:t xml:space="preserve"> зростання кількості надходження до Чернівецького окружного адміністративного суду</w:t>
      </w:r>
      <w:r w:rsidR="00D17061" w:rsidRPr="0082492E">
        <w:rPr>
          <w:rFonts w:ascii="Times New Roman" w:hAnsi="Times New Roman" w:cs="Times New Roman"/>
          <w:sz w:val="26"/>
          <w:szCs w:val="26"/>
        </w:rPr>
        <w:t>.</w:t>
      </w:r>
      <w:r w:rsidR="004C1C0B" w:rsidRPr="00824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333" w:rsidRPr="0082492E" w:rsidRDefault="007E0204" w:rsidP="007469F4">
      <w:pPr>
        <w:pStyle w:val="StyleZakonu0"/>
        <w:spacing w:after="0" w:line="240" w:lineRule="auto"/>
        <w:ind w:firstLine="720"/>
        <w:rPr>
          <w:sz w:val="26"/>
          <w:szCs w:val="26"/>
        </w:rPr>
      </w:pPr>
      <w:r w:rsidRPr="0082492E">
        <w:rPr>
          <w:sz w:val="26"/>
          <w:szCs w:val="26"/>
        </w:rPr>
        <w:t xml:space="preserve">Також варто звернути увагу </w:t>
      </w:r>
      <w:r w:rsidR="00AC6779" w:rsidRPr="0082492E">
        <w:rPr>
          <w:sz w:val="26"/>
          <w:szCs w:val="26"/>
        </w:rPr>
        <w:t xml:space="preserve">й </w:t>
      </w:r>
      <w:r w:rsidRPr="0082492E">
        <w:rPr>
          <w:sz w:val="26"/>
          <w:szCs w:val="26"/>
        </w:rPr>
        <w:t>на те, що</w:t>
      </w:r>
      <w:r w:rsidR="00D17061" w:rsidRPr="0082492E">
        <w:rPr>
          <w:sz w:val="26"/>
          <w:szCs w:val="26"/>
        </w:rPr>
        <w:t xml:space="preserve"> із набранням чинності (15 грудня 2017 року) змін внесених Верховною Радою України до процесуального законодавства</w:t>
      </w:r>
      <w:r w:rsidRPr="0082492E">
        <w:rPr>
          <w:sz w:val="26"/>
          <w:szCs w:val="26"/>
        </w:rPr>
        <w:t xml:space="preserve"> </w:t>
      </w:r>
      <w:r w:rsidR="00D17061" w:rsidRPr="0082492E">
        <w:rPr>
          <w:sz w:val="26"/>
          <w:szCs w:val="26"/>
        </w:rPr>
        <w:t>та у зв’язку із зміною</w:t>
      </w:r>
      <w:r w:rsidRPr="0082492E">
        <w:rPr>
          <w:sz w:val="26"/>
          <w:szCs w:val="26"/>
        </w:rPr>
        <w:t xml:space="preserve"> </w:t>
      </w:r>
      <w:r w:rsidR="007469F4" w:rsidRPr="0082492E">
        <w:rPr>
          <w:sz w:val="26"/>
          <w:szCs w:val="26"/>
        </w:rPr>
        <w:t>предметн</w:t>
      </w:r>
      <w:r w:rsidR="00D17061" w:rsidRPr="0082492E">
        <w:rPr>
          <w:sz w:val="26"/>
          <w:szCs w:val="26"/>
        </w:rPr>
        <w:t>ої</w:t>
      </w:r>
      <w:r w:rsidR="007469F4" w:rsidRPr="0082492E">
        <w:rPr>
          <w:sz w:val="26"/>
          <w:szCs w:val="26"/>
        </w:rPr>
        <w:t xml:space="preserve"> юрисдикції між адміністративними судами,</w:t>
      </w:r>
      <w:r w:rsidRPr="0082492E">
        <w:rPr>
          <w:sz w:val="26"/>
          <w:szCs w:val="26"/>
        </w:rPr>
        <w:t xml:space="preserve"> шляхом збільшення категорій справ підсудних виключно окружним адміністративним </w:t>
      </w:r>
      <w:r w:rsidR="007469F4" w:rsidRPr="0082492E">
        <w:rPr>
          <w:sz w:val="26"/>
          <w:szCs w:val="26"/>
        </w:rPr>
        <w:t>судам</w:t>
      </w:r>
      <w:r w:rsidR="00D17061" w:rsidRPr="0082492E">
        <w:rPr>
          <w:sz w:val="26"/>
          <w:szCs w:val="26"/>
        </w:rPr>
        <w:t xml:space="preserve">, відбудеться </w:t>
      </w:r>
      <w:r w:rsidRPr="0082492E">
        <w:rPr>
          <w:sz w:val="26"/>
          <w:szCs w:val="26"/>
        </w:rPr>
        <w:t>збільшення</w:t>
      </w:r>
      <w:r w:rsidR="00D17061" w:rsidRPr="0082492E">
        <w:rPr>
          <w:sz w:val="26"/>
          <w:szCs w:val="26"/>
        </w:rPr>
        <w:t xml:space="preserve"> надходжень</w:t>
      </w:r>
      <w:r w:rsidRPr="0082492E">
        <w:rPr>
          <w:sz w:val="26"/>
          <w:szCs w:val="26"/>
        </w:rPr>
        <w:t xml:space="preserve"> за рахунок віднесення адміністративних справ, які розглядались місцевими загальними судами як адміністративними судами до предметної підсудності </w:t>
      </w:r>
      <w:r w:rsidR="00D7386F" w:rsidRPr="0082492E">
        <w:rPr>
          <w:sz w:val="26"/>
          <w:szCs w:val="26"/>
        </w:rPr>
        <w:t>окружних адміністративних судів, зокрема,</w:t>
      </w:r>
      <w:r w:rsidR="00D17061" w:rsidRPr="0082492E">
        <w:rPr>
          <w:sz w:val="26"/>
          <w:szCs w:val="26"/>
        </w:rPr>
        <w:t xml:space="preserve"> справ зі</w:t>
      </w:r>
      <w:r w:rsidR="00D7386F" w:rsidRPr="0082492E">
        <w:rPr>
          <w:sz w:val="26"/>
          <w:szCs w:val="26"/>
        </w:rPr>
        <w:t xml:space="preserve"> спор</w:t>
      </w:r>
      <w:r w:rsidR="00D17061" w:rsidRPr="0082492E">
        <w:rPr>
          <w:sz w:val="26"/>
          <w:szCs w:val="26"/>
        </w:rPr>
        <w:t>ів</w:t>
      </w:r>
      <w:r w:rsidR="00D7386F" w:rsidRPr="0082492E">
        <w:rPr>
          <w:sz w:val="26"/>
          <w:szCs w:val="26"/>
        </w:rPr>
        <w:t xml:space="preserve"> щодо перерахунку та здійснення </w:t>
      </w:r>
      <w:r w:rsidR="00311D48" w:rsidRPr="0082492E">
        <w:rPr>
          <w:sz w:val="26"/>
          <w:szCs w:val="26"/>
        </w:rPr>
        <w:t xml:space="preserve">страхових виплат, соціального страхування </w:t>
      </w:r>
      <w:r w:rsidR="00D17061" w:rsidRPr="0082492E">
        <w:rPr>
          <w:sz w:val="26"/>
          <w:szCs w:val="26"/>
        </w:rPr>
        <w:t>та оскарження рішень, дій та без</w:t>
      </w:r>
      <w:r w:rsidR="00D66B9E" w:rsidRPr="0082492E">
        <w:rPr>
          <w:sz w:val="26"/>
          <w:szCs w:val="26"/>
        </w:rPr>
        <w:t>діяльності органів місцевого са</w:t>
      </w:r>
      <w:r w:rsidR="00D17061" w:rsidRPr="0082492E">
        <w:rPr>
          <w:sz w:val="26"/>
          <w:szCs w:val="26"/>
        </w:rPr>
        <w:t>моврядування</w:t>
      </w:r>
      <w:r w:rsidR="00311D48" w:rsidRPr="0082492E">
        <w:rPr>
          <w:sz w:val="26"/>
          <w:szCs w:val="26"/>
        </w:rPr>
        <w:t>.</w:t>
      </w:r>
    </w:p>
    <w:p w:rsidR="00954DC5" w:rsidRPr="00482BB3" w:rsidRDefault="00954DC5" w:rsidP="001F7144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BB3">
        <w:rPr>
          <w:rFonts w:ascii="Times New Roman" w:hAnsi="Times New Roman" w:cs="Times New Roman"/>
          <w:sz w:val="26"/>
          <w:szCs w:val="26"/>
        </w:rPr>
        <w:t xml:space="preserve">Так, для прикладу у 2017 році </w:t>
      </w:r>
      <w:r>
        <w:rPr>
          <w:rFonts w:ascii="Times New Roman" w:hAnsi="Times New Roman" w:cs="Times New Roman"/>
          <w:sz w:val="26"/>
          <w:szCs w:val="26"/>
        </w:rPr>
        <w:t xml:space="preserve">до місцевих </w:t>
      </w:r>
      <w:r w:rsidRPr="00482BB3">
        <w:rPr>
          <w:rFonts w:ascii="Times New Roman" w:hAnsi="Times New Roman" w:cs="Times New Roman"/>
          <w:sz w:val="26"/>
          <w:szCs w:val="26"/>
        </w:rPr>
        <w:t>загальних суд</w:t>
      </w:r>
      <w:r>
        <w:rPr>
          <w:rFonts w:ascii="Times New Roman" w:hAnsi="Times New Roman" w:cs="Times New Roman"/>
          <w:sz w:val="26"/>
          <w:szCs w:val="26"/>
        </w:rPr>
        <w:t>ів в</w:t>
      </w:r>
      <w:r w:rsidRPr="00482BB3">
        <w:rPr>
          <w:rFonts w:ascii="Times New Roman" w:hAnsi="Times New Roman" w:cs="Times New Roman"/>
          <w:sz w:val="26"/>
          <w:szCs w:val="26"/>
        </w:rPr>
        <w:t xml:space="preserve"> Чернівецьк</w:t>
      </w:r>
      <w:r>
        <w:rPr>
          <w:rFonts w:ascii="Times New Roman" w:hAnsi="Times New Roman" w:cs="Times New Roman"/>
          <w:sz w:val="26"/>
          <w:szCs w:val="26"/>
        </w:rPr>
        <w:t>ій</w:t>
      </w:r>
      <w:r w:rsidRPr="00482BB3">
        <w:rPr>
          <w:rFonts w:ascii="Times New Roman" w:hAnsi="Times New Roman" w:cs="Times New Roman"/>
          <w:sz w:val="26"/>
          <w:szCs w:val="26"/>
        </w:rPr>
        <w:t xml:space="preserve"> області</w:t>
      </w:r>
      <w:r>
        <w:rPr>
          <w:rFonts w:ascii="Times New Roman" w:hAnsi="Times New Roman" w:cs="Times New Roman"/>
          <w:sz w:val="26"/>
          <w:szCs w:val="26"/>
        </w:rPr>
        <w:t xml:space="preserve">, як адміністративних, надійшло </w:t>
      </w:r>
      <w:r w:rsidRPr="00954DC5">
        <w:rPr>
          <w:rFonts w:ascii="Times New Roman" w:hAnsi="Times New Roman" w:cs="Times New Roman"/>
          <w:b/>
          <w:sz w:val="26"/>
          <w:szCs w:val="26"/>
        </w:rPr>
        <w:t>973</w:t>
      </w:r>
      <w:r>
        <w:rPr>
          <w:rFonts w:ascii="Times New Roman" w:hAnsi="Times New Roman" w:cs="Times New Roman"/>
          <w:sz w:val="26"/>
          <w:szCs w:val="26"/>
        </w:rPr>
        <w:t xml:space="preserve"> справи, з яких, враховуючи останні зміни до процесуального законодавства, більше </w:t>
      </w:r>
      <w:r w:rsidRPr="00954DC5">
        <w:rPr>
          <w:rFonts w:ascii="Times New Roman" w:hAnsi="Times New Roman" w:cs="Times New Roman"/>
          <w:b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 xml:space="preserve"> справ</w:t>
      </w:r>
      <w:r w:rsidR="001F7144">
        <w:rPr>
          <w:rFonts w:ascii="Times New Roman" w:hAnsi="Times New Roman" w:cs="Times New Roman"/>
          <w:sz w:val="26"/>
          <w:szCs w:val="26"/>
        </w:rPr>
        <w:t>,</w:t>
      </w:r>
      <w:r w:rsidR="00714B24">
        <w:rPr>
          <w:rFonts w:ascii="Times New Roman" w:hAnsi="Times New Roman" w:cs="Times New Roman"/>
          <w:sz w:val="26"/>
          <w:szCs w:val="26"/>
        </w:rPr>
        <w:t xml:space="preserve"> вже наразі</w:t>
      </w:r>
      <w:r w:rsidR="001F71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предметно підсудні Чернівецькому окружному адміністративному суду. </w:t>
      </w:r>
    </w:p>
    <w:p w:rsidR="00954DC5" w:rsidRPr="00482BB3" w:rsidRDefault="00714B24" w:rsidP="00954DC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Враховуючи викладене та зважаючи</w:t>
      </w:r>
      <w:r w:rsidR="0007643D">
        <w:rPr>
          <w:rFonts w:ascii="Times New Roman" w:hAnsi="Times New Roman" w:cs="Times New Roman"/>
          <w:sz w:val="26"/>
          <w:szCs w:val="26"/>
        </w:rPr>
        <w:t xml:space="preserve"> на</w:t>
      </w:r>
      <w:r w:rsidR="00954DC5" w:rsidRPr="00482BB3">
        <w:rPr>
          <w:rFonts w:ascii="Times New Roman" w:hAnsi="Times New Roman" w:cs="Times New Roman"/>
          <w:sz w:val="26"/>
          <w:szCs w:val="26"/>
        </w:rPr>
        <w:t xml:space="preserve"> статистичні показники роботи судів Чернівецької області,</w:t>
      </w:r>
      <w:r>
        <w:rPr>
          <w:rFonts w:ascii="Times New Roman" w:hAnsi="Times New Roman" w:cs="Times New Roman"/>
          <w:sz w:val="26"/>
          <w:szCs w:val="26"/>
        </w:rPr>
        <w:t xml:space="preserve"> так і Чернівецького окружного адміністративного суду, прогнозуємо зростання</w:t>
      </w:r>
      <w:r w:rsidR="00954DC5" w:rsidRPr="00482BB3">
        <w:rPr>
          <w:rFonts w:ascii="Times New Roman" w:hAnsi="Times New Roman" w:cs="Times New Roman"/>
          <w:sz w:val="26"/>
          <w:szCs w:val="26"/>
        </w:rPr>
        <w:t xml:space="preserve"> кількість справ, що </w:t>
      </w:r>
      <w:r>
        <w:rPr>
          <w:rFonts w:ascii="Times New Roman" w:hAnsi="Times New Roman" w:cs="Times New Roman"/>
          <w:sz w:val="26"/>
          <w:szCs w:val="26"/>
        </w:rPr>
        <w:t xml:space="preserve">надійдуть у </w:t>
      </w:r>
      <w:r w:rsidRPr="001F7144">
        <w:rPr>
          <w:rFonts w:ascii="Times New Roman" w:hAnsi="Times New Roman" w:cs="Times New Roman"/>
          <w:b/>
          <w:sz w:val="26"/>
          <w:szCs w:val="26"/>
        </w:rPr>
        <w:t>2018 році</w:t>
      </w:r>
      <w:r>
        <w:rPr>
          <w:rFonts w:ascii="Times New Roman" w:hAnsi="Times New Roman" w:cs="Times New Roman"/>
          <w:sz w:val="26"/>
          <w:szCs w:val="26"/>
        </w:rPr>
        <w:t xml:space="preserve"> до суду </w:t>
      </w:r>
      <w:r w:rsidR="001F7144">
        <w:rPr>
          <w:rFonts w:ascii="Times New Roman" w:hAnsi="Times New Roman" w:cs="Times New Roman"/>
          <w:sz w:val="26"/>
          <w:szCs w:val="26"/>
        </w:rPr>
        <w:t xml:space="preserve">в </w:t>
      </w:r>
      <w:r w:rsidR="001F7144" w:rsidRPr="001F7144">
        <w:rPr>
          <w:rFonts w:ascii="Times New Roman" w:hAnsi="Times New Roman" w:cs="Times New Roman"/>
          <w:b/>
          <w:sz w:val="26"/>
          <w:szCs w:val="26"/>
        </w:rPr>
        <w:t>1,3</w:t>
      </w:r>
      <w:r w:rsidR="001F7144">
        <w:rPr>
          <w:rFonts w:ascii="Times New Roman" w:hAnsi="Times New Roman" w:cs="Times New Roman"/>
          <w:sz w:val="26"/>
          <w:szCs w:val="26"/>
        </w:rPr>
        <w:t xml:space="preserve"> рази або понад </w:t>
      </w:r>
      <w:r w:rsidR="001F7144" w:rsidRPr="001F7144">
        <w:rPr>
          <w:rFonts w:ascii="Times New Roman" w:hAnsi="Times New Roman" w:cs="Times New Roman"/>
          <w:b/>
          <w:sz w:val="26"/>
          <w:szCs w:val="26"/>
        </w:rPr>
        <w:t>2000</w:t>
      </w:r>
      <w:r w:rsidR="001F7144">
        <w:rPr>
          <w:rFonts w:ascii="Times New Roman" w:hAnsi="Times New Roman" w:cs="Times New Roman"/>
          <w:sz w:val="26"/>
          <w:szCs w:val="26"/>
        </w:rPr>
        <w:t xml:space="preserve"> </w:t>
      </w:r>
      <w:r w:rsidR="001F7144" w:rsidRPr="001F7144">
        <w:rPr>
          <w:rFonts w:ascii="Times New Roman" w:hAnsi="Times New Roman" w:cs="Times New Roman"/>
          <w:b/>
          <w:sz w:val="26"/>
          <w:szCs w:val="26"/>
        </w:rPr>
        <w:t>справ</w:t>
      </w:r>
      <w:r w:rsidR="00954DC5" w:rsidRPr="00482B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2649" w:rsidRDefault="00392649" w:rsidP="00392649">
      <w:pPr>
        <w:pStyle w:val="a7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212E" w:rsidRPr="0082492E" w:rsidRDefault="0066212E" w:rsidP="00780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 xml:space="preserve">Аналіз розгляду адміністративних справ </w:t>
      </w:r>
      <w:r w:rsidR="00D151E2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та матеріалів за характером прийнятих рішень</w:t>
      </w:r>
    </w:p>
    <w:p w:rsidR="0099367D" w:rsidRPr="0082492E" w:rsidRDefault="0099367D" w:rsidP="005769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Визначальними вимірами ефективності судочинства є своєчасність та якість розгляду судових справ. </w:t>
      </w:r>
    </w:p>
    <w:p w:rsidR="00122494" w:rsidRPr="0082492E" w:rsidRDefault="00504B42" w:rsidP="005769F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="0099367D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2017 р</w:t>
      </w:r>
      <w:r w:rsidR="002D5B19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ці</w:t>
      </w:r>
      <w:r w:rsidR="0099367D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 провадженні Чернівецького окружного адміністративного суду перебувал</w:t>
      </w:r>
      <w:r w:rsidR="00965778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="0099367D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82492E">
        <w:rPr>
          <w:rFonts w:ascii="Times New Roman" w:hAnsi="Times New Roman" w:cs="Times New Roman"/>
          <w:b/>
          <w:bCs/>
          <w:iCs/>
          <w:sz w:val="26"/>
          <w:szCs w:val="26"/>
        </w:rPr>
        <w:t>1625</w:t>
      </w:r>
      <w:r w:rsidR="00777643"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777643" w:rsidRPr="0082492E">
        <w:rPr>
          <w:rFonts w:ascii="Times New Roman" w:hAnsi="Times New Roman" w:cs="Times New Roman"/>
          <w:bCs/>
          <w:iCs/>
          <w:sz w:val="26"/>
          <w:szCs w:val="26"/>
        </w:rPr>
        <w:t>адміністративних справ</w:t>
      </w:r>
      <w:r w:rsidR="00446323" w:rsidRPr="0082492E">
        <w:rPr>
          <w:rFonts w:ascii="Times New Roman" w:hAnsi="Times New Roman" w:cs="Times New Roman"/>
          <w:bCs/>
          <w:iCs/>
          <w:sz w:val="26"/>
          <w:szCs w:val="26"/>
        </w:rPr>
        <w:t xml:space="preserve"> та матеріалів</w:t>
      </w:r>
      <w:r w:rsidR="00DF5471">
        <w:rPr>
          <w:rFonts w:ascii="Times New Roman" w:hAnsi="Times New Roman" w:cs="Times New Roman"/>
          <w:sz w:val="26"/>
          <w:szCs w:val="26"/>
        </w:rPr>
        <w:t xml:space="preserve">, що на </w:t>
      </w:r>
      <w:r w:rsidR="00DF5471" w:rsidRPr="00DF5471">
        <w:rPr>
          <w:rFonts w:ascii="Times New Roman" w:hAnsi="Times New Roman" w:cs="Times New Roman"/>
          <w:b/>
          <w:sz w:val="26"/>
          <w:szCs w:val="26"/>
        </w:rPr>
        <w:t>16%</w:t>
      </w:r>
      <w:r w:rsidR="00DF5471">
        <w:rPr>
          <w:rFonts w:ascii="Times New Roman" w:hAnsi="Times New Roman" w:cs="Times New Roman"/>
          <w:sz w:val="26"/>
          <w:szCs w:val="26"/>
        </w:rPr>
        <w:t xml:space="preserve"> більше ніж за аналогічний період </w:t>
      </w:r>
      <w:r w:rsidR="007363C7" w:rsidRPr="0082492E">
        <w:rPr>
          <w:rFonts w:ascii="Times New Roman" w:hAnsi="Times New Roman" w:cs="Times New Roman"/>
          <w:sz w:val="26"/>
          <w:szCs w:val="26"/>
        </w:rPr>
        <w:t>2016 ро</w:t>
      </w:r>
      <w:r w:rsidR="00DF5471">
        <w:rPr>
          <w:rFonts w:ascii="Times New Roman" w:hAnsi="Times New Roman" w:cs="Times New Roman"/>
          <w:sz w:val="26"/>
          <w:szCs w:val="26"/>
        </w:rPr>
        <w:t xml:space="preserve">ку - </w:t>
      </w:r>
      <w:r w:rsidRPr="0082492E">
        <w:rPr>
          <w:rFonts w:ascii="Times New Roman" w:hAnsi="Times New Roman" w:cs="Times New Roman"/>
          <w:b/>
          <w:sz w:val="26"/>
          <w:szCs w:val="26"/>
        </w:rPr>
        <w:t>1396</w:t>
      </w:r>
      <w:r w:rsidR="007363C7" w:rsidRPr="00824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3C7" w:rsidRPr="0082492E">
        <w:rPr>
          <w:rFonts w:ascii="Times New Roman" w:hAnsi="Times New Roman" w:cs="Times New Roman"/>
          <w:sz w:val="26"/>
          <w:szCs w:val="26"/>
        </w:rPr>
        <w:t>справ</w:t>
      </w:r>
      <w:r w:rsidR="00446323" w:rsidRPr="0082492E">
        <w:rPr>
          <w:rFonts w:ascii="Times New Roman" w:hAnsi="Times New Roman" w:cs="Times New Roman"/>
          <w:sz w:val="26"/>
          <w:szCs w:val="26"/>
        </w:rPr>
        <w:t xml:space="preserve"> та матеріалів</w:t>
      </w:r>
      <w:r w:rsidR="00DF5471">
        <w:rPr>
          <w:rFonts w:ascii="Times New Roman" w:hAnsi="Times New Roman" w:cs="Times New Roman"/>
          <w:sz w:val="26"/>
          <w:szCs w:val="26"/>
        </w:rPr>
        <w:t xml:space="preserve"> </w:t>
      </w:r>
      <w:r w:rsidR="00BB31D8" w:rsidRPr="0082492E">
        <w:rPr>
          <w:rFonts w:ascii="Times New Roman" w:hAnsi="Times New Roman" w:cs="Times New Roman"/>
          <w:sz w:val="26"/>
          <w:szCs w:val="26"/>
        </w:rPr>
        <w:t xml:space="preserve">(Діаграма </w:t>
      </w:r>
      <w:r w:rsidRPr="0082492E">
        <w:rPr>
          <w:rFonts w:ascii="Times New Roman" w:hAnsi="Times New Roman" w:cs="Times New Roman"/>
          <w:sz w:val="26"/>
          <w:szCs w:val="26"/>
        </w:rPr>
        <w:t>1</w:t>
      </w:r>
      <w:r w:rsidR="00BB31D8" w:rsidRPr="0082492E">
        <w:rPr>
          <w:rFonts w:ascii="Times New Roman" w:hAnsi="Times New Roman" w:cs="Times New Roman"/>
          <w:sz w:val="26"/>
          <w:szCs w:val="26"/>
        </w:rPr>
        <w:t>).</w:t>
      </w:r>
    </w:p>
    <w:p w:rsidR="00993908" w:rsidRPr="0082492E" w:rsidRDefault="00993908" w:rsidP="007363C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92E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19DDEF83" wp14:editId="723A22BE">
            <wp:extent cx="5621573" cy="3283889"/>
            <wp:effectExtent l="0" t="0" r="1778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6DF" w:rsidRPr="0082492E" w:rsidRDefault="00BB31D8" w:rsidP="00BB31D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82492E">
        <w:rPr>
          <w:rFonts w:ascii="Times New Roman" w:hAnsi="Times New Roman"/>
          <w:sz w:val="20"/>
          <w:szCs w:val="20"/>
        </w:rPr>
        <w:t xml:space="preserve">Діаграма </w:t>
      </w:r>
      <w:r w:rsidR="00504B42" w:rsidRPr="0082492E">
        <w:rPr>
          <w:rFonts w:ascii="Times New Roman" w:hAnsi="Times New Roman"/>
          <w:sz w:val="20"/>
          <w:szCs w:val="20"/>
        </w:rPr>
        <w:t>1</w:t>
      </w:r>
    </w:p>
    <w:p w:rsidR="005769FE" w:rsidRPr="0082492E" w:rsidRDefault="005769FE" w:rsidP="007776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77643" w:rsidRPr="0082492E" w:rsidRDefault="002D5B19" w:rsidP="007776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92E">
        <w:rPr>
          <w:rFonts w:ascii="Times New Roman" w:hAnsi="Times New Roman"/>
          <w:sz w:val="26"/>
          <w:szCs w:val="26"/>
        </w:rPr>
        <w:t xml:space="preserve">Також звертаємо увагу на те, що у </w:t>
      </w:r>
      <w:r w:rsidRPr="0082492E">
        <w:rPr>
          <w:rFonts w:ascii="Times New Roman" w:hAnsi="Times New Roman"/>
          <w:b/>
          <w:sz w:val="26"/>
          <w:szCs w:val="26"/>
        </w:rPr>
        <w:t>звітному періоді</w:t>
      </w:r>
      <w:r w:rsidRPr="0082492E">
        <w:rPr>
          <w:rFonts w:ascii="Times New Roman" w:hAnsi="Times New Roman"/>
          <w:sz w:val="26"/>
          <w:szCs w:val="26"/>
        </w:rPr>
        <w:t xml:space="preserve"> розглянуто </w:t>
      </w:r>
      <w:r w:rsidRPr="0082492E">
        <w:rPr>
          <w:rFonts w:ascii="Times New Roman" w:hAnsi="Times New Roman"/>
          <w:b/>
          <w:sz w:val="26"/>
          <w:szCs w:val="26"/>
        </w:rPr>
        <w:t>1352</w:t>
      </w:r>
      <w:r w:rsidRPr="0082492E">
        <w:rPr>
          <w:rFonts w:ascii="Times New Roman" w:hAnsi="Times New Roman"/>
          <w:sz w:val="26"/>
          <w:szCs w:val="26"/>
        </w:rPr>
        <w:t xml:space="preserve"> справи та матеріали, що на </w:t>
      </w:r>
      <w:r w:rsidRPr="0082492E">
        <w:rPr>
          <w:rFonts w:ascii="Times New Roman" w:hAnsi="Times New Roman"/>
          <w:b/>
          <w:sz w:val="26"/>
          <w:szCs w:val="26"/>
        </w:rPr>
        <w:t>28%</w:t>
      </w:r>
      <w:r w:rsidRPr="0082492E">
        <w:rPr>
          <w:rFonts w:ascii="Times New Roman" w:hAnsi="Times New Roman"/>
          <w:sz w:val="26"/>
          <w:szCs w:val="26"/>
        </w:rPr>
        <w:t xml:space="preserve"> більше </w:t>
      </w:r>
      <w:r w:rsidRPr="0082492E">
        <w:rPr>
          <w:rFonts w:ascii="Times New Roman" w:hAnsi="Times New Roman"/>
          <w:b/>
          <w:sz w:val="26"/>
          <w:szCs w:val="26"/>
        </w:rPr>
        <w:t xml:space="preserve">ніж у </w:t>
      </w:r>
      <w:r w:rsidR="00777643" w:rsidRPr="0082492E">
        <w:rPr>
          <w:rFonts w:ascii="Times New Roman" w:hAnsi="Times New Roman"/>
          <w:b/>
          <w:sz w:val="26"/>
          <w:szCs w:val="26"/>
        </w:rPr>
        <w:t>201</w:t>
      </w:r>
      <w:r w:rsidR="00811581" w:rsidRPr="0082492E">
        <w:rPr>
          <w:rFonts w:ascii="Times New Roman" w:hAnsi="Times New Roman"/>
          <w:b/>
          <w:sz w:val="26"/>
          <w:szCs w:val="26"/>
        </w:rPr>
        <w:t>6</w:t>
      </w:r>
      <w:r w:rsidR="00777643" w:rsidRPr="0082492E">
        <w:rPr>
          <w:rFonts w:ascii="Times New Roman" w:hAnsi="Times New Roman"/>
          <w:sz w:val="26"/>
          <w:szCs w:val="26"/>
        </w:rPr>
        <w:t xml:space="preserve"> </w:t>
      </w:r>
      <w:r w:rsidR="00777643" w:rsidRPr="0082492E">
        <w:rPr>
          <w:rFonts w:ascii="Times New Roman" w:hAnsi="Times New Roman"/>
          <w:b/>
          <w:sz w:val="26"/>
          <w:szCs w:val="26"/>
        </w:rPr>
        <w:t>р</w:t>
      </w:r>
      <w:r w:rsidRPr="0082492E">
        <w:rPr>
          <w:rFonts w:ascii="Times New Roman" w:hAnsi="Times New Roman"/>
          <w:b/>
          <w:sz w:val="26"/>
          <w:szCs w:val="26"/>
        </w:rPr>
        <w:t>оці</w:t>
      </w:r>
      <w:r w:rsidR="00DF5471">
        <w:rPr>
          <w:rFonts w:ascii="Times New Roman" w:hAnsi="Times New Roman"/>
          <w:b/>
          <w:sz w:val="26"/>
          <w:szCs w:val="26"/>
        </w:rPr>
        <w:t xml:space="preserve"> – 1056 </w:t>
      </w:r>
      <w:r w:rsidR="00DF5471" w:rsidRPr="00DF5471">
        <w:rPr>
          <w:rFonts w:ascii="Times New Roman" w:hAnsi="Times New Roman"/>
          <w:sz w:val="26"/>
          <w:szCs w:val="26"/>
        </w:rPr>
        <w:t>справ та матеріалів</w:t>
      </w:r>
      <w:r w:rsidR="00811581" w:rsidRPr="00DF5471">
        <w:rPr>
          <w:rFonts w:ascii="Times New Roman" w:hAnsi="Times New Roman"/>
          <w:sz w:val="26"/>
          <w:szCs w:val="26"/>
        </w:rPr>
        <w:t xml:space="preserve"> </w:t>
      </w:r>
      <w:r w:rsidR="000111A2" w:rsidRPr="0082492E">
        <w:rPr>
          <w:rFonts w:ascii="Times New Roman" w:hAnsi="Times New Roman"/>
          <w:sz w:val="26"/>
          <w:szCs w:val="26"/>
        </w:rPr>
        <w:t>(</w:t>
      </w:r>
      <w:r w:rsidR="00773A63" w:rsidRPr="0082492E">
        <w:rPr>
          <w:rFonts w:ascii="Times New Roman" w:hAnsi="Times New Roman"/>
          <w:sz w:val="26"/>
          <w:szCs w:val="26"/>
        </w:rPr>
        <w:t xml:space="preserve">Графік </w:t>
      </w:r>
      <w:r w:rsidR="007D37A9" w:rsidRPr="0082492E">
        <w:rPr>
          <w:rFonts w:ascii="Times New Roman" w:hAnsi="Times New Roman"/>
          <w:sz w:val="26"/>
          <w:szCs w:val="26"/>
        </w:rPr>
        <w:t>3</w:t>
      </w:r>
      <w:r w:rsidR="000111A2" w:rsidRPr="0082492E">
        <w:rPr>
          <w:rFonts w:ascii="Times New Roman" w:hAnsi="Times New Roman"/>
          <w:sz w:val="26"/>
          <w:szCs w:val="26"/>
        </w:rPr>
        <w:t>)</w:t>
      </w:r>
      <w:r w:rsidRPr="0082492E">
        <w:rPr>
          <w:rFonts w:ascii="Times New Roman" w:hAnsi="Times New Roman"/>
          <w:sz w:val="26"/>
          <w:szCs w:val="26"/>
        </w:rPr>
        <w:t>.</w:t>
      </w:r>
    </w:p>
    <w:p w:rsidR="005769FE" w:rsidRPr="0082492E" w:rsidRDefault="005769FE" w:rsidP="007776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4E33" w:rsidRPr="0082492E" w:rsidRDefault="004D4E33" w:rsidP="004D4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noProof/>
          <w:sz w:val="26"/>
          <w:szCs w:val="26"/>
          <w:shd w:val="clear" w:color="auto" w:fill="B8CCE4" w:themeFill="accent1" w:themeFillTint="66"/>
          <w:lang w:eastAsia="uk-UA"/>
        </w:rPr>
        <w:drawing>
          <wp:inline distT="0" distB="0" distL="0" distR="0" wp14:anchorId="3B53CF08" wp14:editId="193A3110">
            <wp:extent cx="5994400" cy="3352800"/>
            <wp:effectExtent l="0" t="0" r="254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3551" w:rsidRPr="0082492E" w:rsidRDefault="00D03551" w:rsidP="00D03551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82492E">
        <w:rPr>
          <w:rFonts w:ascii="Times New Roman" w:hAnsi="Times New Roman" w:cs="Times New Roman"/>
          <w:sz w:val="20"/>
          <w:szCs w:val="20"/>
        </w:rPr>
        <w:t>Графік 3</w:t>
      </w:r>
    </w:p>
    <w:p w:rsidR="00D03551" w:rsidRPr="0082492E" w:rsidRDefault="00D03551" w:rsidP="00D0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>Розгляд справ та матеріалів у розрізі прийнятих судом рішень виглядає наступним чином (графік 4 та 5):</w:t>
      </w:r>
    </w:p>
    <w:p w:rsidR="00D03551" w:rsidRPr="0082492E" w:rsidRDefault="00D03551" w:rsidP="004D4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AC712F" w:rsidRPr="0082492E" w:rsidRDefault="00DE5792" w:rsidP="009A1B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92E"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 wp14:anchorId="6878ED67" wp14:editId="02388A46">
            <wp:extent cx="5996940" cy="3749040"/>
            <wp:effectExtent l="0" t="0" r="22860" b="228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11A2" w:rsidRPr="0082492E" w:rsidRDefault="00264035" w:rsidP="005769FE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0"/>
          <w:szCs w:val="20"/>
        </w:rPr>
        <w:t xml:space="preserve">Графік </w:t>
      </w:r>
      <w:r w:rsidR="007D37A9" w:rsidRPr="0082492E">
        <w:rPr>
          <w:rFonts w:ascii="Times New Roman" w:hAnsi="Times New Roman" w:cs="Times New Roman"/>
          <w:sz w:val="20"/>
          <w:szCs w:val="20"/>
        </w:rPr>
        <w:t>4</w:t>
      </w:r>
    </w:p>
    <w:p w:rsidR="000F1EFB" w:rsidRPr="0082492E" w:rsidRDefault="000F1EFB" w:rsidP="00777643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0F1EFB" w:rsidRPr="0082492E" w:rsidRDefault="0082492E" w:rsidP="00777643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4A96" wp14:editId="54C34E4F">
                <wp:simplePos x="0" y="0"/>
                <wp:positionH relativeFrom="column">
                  <wp:posOffset>5240324</wp:posOffset>
                </wp:positionH>
                <wp:positionV relativeFrom="paragraph">
                  <wp:posOffset>81280</wp:posOffset>
                </wp:positionV>
                <wp:extent cx="969010" cy="524510"/>
                <wp:effectExtent l="0" t="0" r="254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D7" w:rsidRPr="007222A3" w:rsidRDefault="00901FD7" w:rsidP="00901F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22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2016 рік</w:t>
                            </w:r>
                          </w:p>
                          <w:p w:rsidR="00901FD7" w:rsidRPr="007222A3" w:rsidRDefault="00901FD7" w:rsidP="00901F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22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2017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6pt;margin-top:6.4pt;width:76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" stroked="f">
                <v:textbox>
                  <w:txbxContent>
                    <w:p w:rsidR="00901FD7" w:rsidRPr="007222A3" w:rsidRDefault="00901FD7" w:rsidP="00901FD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22A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2016 рік</w:t>
                      </w:r>
                    </w:p>
                    <w:p w:rsidR="00901FD7" w:rsidRPr="007222A3" w:rsidRDefault="00901FD7" w:rsidP="00901FD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22A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2017 рік</w:t>
                      </w:r>
                    </w:p>
                  </w:txbxContent>
                </v:textbox>
              </v:shape>
            </w:pict>
          </mc:Fallback>
        </mc:AlternateContent>
      </w:r>
      <w:r w:rsidRPr="0082492E"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 wp14:anchorId="63A01A2B" wp14:editId="1018CBED">
            <wp:extent cx="6710901" cy="3570136"/>
            <wp:effectExtent l="0" t="0" r="1397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F1EFB" w:rsidRPr="0082492E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3F095" wp14:editId="0941416D">
                <wp:simplePos x="0" y="0"/>
                <wp:positionH relativeFrom="column">
                  <wp:posOffset>-483870</wp:posOffset>
                </wp:positionH>
                <wp:positionV relativeFrom="paragraph">
                  <wp:posOffset>62230</wp:posOffset>
                </wp:positionV>
                <wp:extent cx="6710680" cy="3426460"/>
                <wp:effectExtent l="0" t="0" r="1397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680" cy="3426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8.1pt;margin-top:4.9pt;width:528.4pt;height:26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" filled="f" strokecolor="black [3200]" strokeweight=".5pt"/>
            </w:pict>
          </mc:Fallback>
        </mc:AlternateContent>
      </w:r>
    </w:p>
    <w:p w:rsidR="006E55EF" w:rsidRPr="0082492E" w:rsidRDefault="006E55EF" w:rsidP="006E55EF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82492E">
        <w:rPr>
          <w:rFonts w:ascii="Times New Roman" w:hAnsi="Times New Roman" w:cs="Times New Roman"/>
          <w:sz w:val="20"/>
          <w:szCs w:val="20"/>
        </w:rPr>
        <w:t>Графік 5</w:t>
      </w:r>
    </w:p>
    <w:p w:rsidR="0082492E" w:rsidRPr="0082492E" w:rsidRDefault="0082492E" w:rsidP="006E55EF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7E51F6" w:rsidRPr="0082492E" w:rsidRDefault="0082492E" w:rsidP="008249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B215F9" w:rsidRPr="0082492E">
        <w:rPr>
          <w:rFonts w:ascii="Times New Roman" w:hAnsi="Times New Roman" w:cs="Times New Roman"/>
          <w:sz w:val="26"/>
          <w:szCs w:val="26"/>
        </w:rPr>
        <w:t xml:space="preserve"> стягнення коштів 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7E51F6" w:rsidRPr="008249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1F6" w:rsidRPr="0082492E">
        <w:rPr>
          <w:rFonts w:ascii="Times New Roman" w:hAnsi="Times New Roman" w:cs="Times New Roman"/>
          <w:sz w:val="26"/>
          <w:szCs w:val="26"/>
        </w:rPr>
        <w:t>справах</w:t>
      </w:r>
      <w:proofErr w:type="gramEnd"/>
      <w:r w:rsidR="007E51F6" w:rsidRPr="0082492E">
        <w:rPr>
          <w:rFonts w:ascii="Times New Roman" w:hAnsi="Times New Roman" w:cs="Times New Roman"/>
          <w:sz w:val="26"/>
          <w:szCs w:val="26"/>
        </w:rPr>
        <w:t xml:space="preserve">, які </w:t>
      </w:r>
      <w:r w:rsidR="00623D49" w:rsidRPr="0082492E">
        <w:rPr>
          <w:rFonts w:ascii="Times New Roman" w:hAnsi="Times New Roman" w:cs="Times New Roman"/>
          <w:sz w:val="26"/>
          <w:szCs w:val="26"/>
        </w:rPr>
        <w:t xml:space="preserve">були розглянуті впродовж звітного періоду </w:t>
      </w:r>
      <w:r>
        <w:rPr>
          <w:rFonts w:ascii="Times New Roman" w:hAnsi="Times New Roman" w:cs="Times New Roman"/>
          <w:sz w:val="26"/>
          <w:szCs w:val="26"/>
        </w:rPr>
        <w:t>зазначаємо наступне. Так, у 2017 році</w:t>
      </w:r>
      <w:r w:rsidR="007E51F6" w:rsidRPr="00824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було </w:t>
      </w:r>
      <w:r w:rsidR="007E51F6" w:rsidRPr="0082492E">
        <w:rPr>
          <w:rFonts w:ascii="Times New Roman" w:hAnsi="Times New Roman" w:cs="Times New Roman"/>
          <w:bCs/>
          <w:iCs/>
          <w:sz w:val="26"/>
          <w:szCs w:val="26"/>
        </w:rPr>
        <w:t>заявлен</w:t>
      </w:r>
      <w:r w:rsidR="00623D49" w:rsidRPr="0082492E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7E51F6" w:rsidRPr="0082492E">
        <w:rPr>
          <w:rFonts w:ascii="Times New Roman" w:hAnsi="Times New Roman" w:cs="Times New Roman"/>
          <w:bCs/>
          <w:iCs/>
          <w:sz w:val="26"/>
          <w:szCs w:val="26"/>
        </w:rPr>
        <w:t xml:space="preserve"> вимог</w:t>
      </w:r>
      <w:r w:rsidR="007E51F6" w:rsidRPr="0082492E">
        <w:rPr>
          <w:rFonts w:ascii="Times New Roman" w:hAnsi="Times New Roman" w:cs="Times New Roman"/>
          <w:sz w:val="26"/>
          <w:szCs w:val="26"/>
        </w:rPr>
        <w:t xml:space="preserve"> про стягнення коштів </w:t>
      </w:r>
      <w:r w:rsidR="00623D49" w:rsidRPr="0082492E">
        <w:rPr>
          <w:rFonts w:ascii="Times New Roman" w:hAnsi="Times New Roman" w:cs="Times New Roman"/>
          <w:sz w:val="26"/>
          <w:szCs w:val="26"/>
        </w:rPr>
        <w:t xml:space="preserve">на суму </w:t>
      </w:r>
      <w:r w:rsidRPr="0082492E">
        <w:rPr>
          <w:rFonts w:ascii="Times New Roman" w:hAnsi="Times New Roman" w:cs="Times New Roman"/>
          <w:b/>
          <w:sz w:val="26"/>
          <w:szCs w:val="26"/>
        </w:rPr>
        <w:t>38 млн. 183 тис. 761 гривень</w:t>
      </w:r>
      <w:r w:rsidR="007E51F6" w:rsidRPr="0082492E">
        <w:rPr>
          <w:rFonts w:ascii="Times New Roman" w:hAnsi="Times New Roman" w:cs="Times New Roman"/>
          <w:sz w:val="26"/>
          <w:szCs w:val="26"/>
        </w:rPr>
        <w:t xml:space="preserve">, </w:t>
      </w:r>
      <w:r w:rsidR="007E51F6" w:rsidRPr="0082492E">
        <w:rPr>
          <w:rFonts w:ascii="Times New Roman" w:hAnsi="Times New Roman" w:cs="Times New Roman"/>
          <w:bCs/>
          <w:iCs/>
          <w:sz w:val="26"/>
          <w:szCs w:val="26"/>
        </w:rPr>
        <w:t>присуджен</w:t>
      </w:r>
      <w:r w:rsidR="00954DC5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7E51F6" w:rsidRPr="0082492E">
        <w:rPr>
          <w:rFonts w:ascii="Times New Roman" w:hAnsi="Times New Roman" w:cs="Times New Roman"/>
          <w:bCs/>
          <w:iCs/>
          <w:sz w:val="26"/>
          <w:szCs w:val="26"/>
        </w:rPr>
        <w:t xml:space="preserve"> до стягнення</w:t>
      </w:r>
      <w:r w:rsidR="007E51F6"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954DC5">
        <w:rPr>
          <w:rFonts w:ascii="Times New Roman" w:hAnsi="Times New Roman" w:cs="Times New Roman"/>
          <w:sz w:val="26"/>
          <w:szCs w:val="26"/>
        </w:rPr>
        <w:t xml:space="preserve">- </w:t>
      </w:r>
      <w:r w:rsidRPr="0082492E">
        <w:rPr>
          <w:rFonts w:ascii="Times New Roman" w:hAnsi="Times New Roman" w:cs="Times New Roman"/>
          <w:b/>
          <w:sz w:val="26"/>
          <w:szCs w:val="26"/>
        </w:rPr>
        <w:t>33 млн.</w:t>
      </w:r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Pr="0082492E">
        <w:rPr>
          <w:rFonts w:ascii="Times New Roman" w:hAnsi="Times New Roman" w:cs="Times New Roman"/>
          <w:b/>
          <w:sz w:val="26"/>
          <w:szCs w:val="26"/>
        </w:rPr>
        <w:t>278 тис. 607</w:t>
      </w:r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Pr="0082492E">
        <w:rPr>
          <w:rFonts w:ascii="Times New Roman" w:hAnsi="Times New Roman" w:cs="Times New Roman"/>
          <w:b/>
          <w:sz w:val="26"/>
          <w:szCs w:val="26"/>
        </w:rPr>
        <w:t>гривень</w:t>
      </w:r>
      <w:r w:rsidR="00044E3D">
        <w:rPr>
          <w:rFonts w:ascii="Times New Roman" w:hAnsi="Times New Roman" w:cs="Times New Roman"/>
          <w:sz w:val="26"/>
          <w:szCs w:val="26"/>
        </w:rPr>
        <w:t xml:space="preserve"> </w:t>
      </w:r>
      <w:r w:rsidR="004C6D89" w:rsidRPr="0082492E">
        <w:rPr>
          <w:rFonts w:ascii="Times New Roman" w:hAnsi="Times New Roman" w:cs="Times New Roman"/>
          <w:bCs/>
          <w:iCs/>
          <w:sz w:val="26"/>
          <w:szCs w:val="26"/>
        </w:rPr>
        <w:t xml:space="preserve">(Графік </w:t>
      </w:r>
      <w:r w:rsidR="00B215F9" w:rsidRPr="0082492E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="004C6D89" w:rsidRPr="0082492E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804911" w:rsidRPr="0082492E" w:rsidRDefault="007E51F6" w:rsidP="007E5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>У 201</w:t>
      </w:r>
      <w:r w:rsidR="009B3DB7" w:rsidRPr="0082492E">
        <w:rPr>
          <w:rFonts w:ascii="Times New Roman" w:hAnsi="Times New Roman" w:cs="Times New Roman"/>
          <w:sz w:val="26"/>
          <w:szCs w:val="26"/>
        </w:rPr>
        <w:t>6</w:t>
      </w:r>
      <w:r w:rsidRPr="0082492E">
        <w:rPr>
          <w:rFonts w:ascii="Times New Roman" w:hAnsi="Times New Roman" w:cs="Times New Roman"/>
          <w:sz w:val="26"/>
          <w:szCs w:val="26"/>
        </w:rPr>
        <w:t xml:space="preserve"> році, </w:t>
      </w:r>
      <w:r w:rsidRPr="0082492E">
        <w:rPr>
          <w:rFonts w:ascii="Times New Roman" w:hAnsi="Times New Roman" w:cs="Times New Roman"/>
          <w:bCs/>
          <w:iCs/>
          <w:sz w:val="26"/>
          <w:szCs w:val="26"/>
        </w:rPr>
        <w:t>заявлена вимога</w:t>
      </w:r>
      <w:r w:rsidRPr="0082492E">
        <w:rPr>
          <w:rFonts w:ascii="Times New Roman" w:hAnsi="Times New Roman" w:cs="Times New Roman"/>
          <w:sz w:val="26"/>
          <w:szCs w:val="26"/>
        </w:rPr>
        <w:t xml:space="preserve"> про стягнення коштів складала </w:t>
      </w:r>
      <w:r w:rsidR="0082492E">
        <w:rPr>
          <w:rFonts w:ascii="Times New Roman" w:hAnsi="Times New Roman" w:cs="Times New Roman"/>
          <w:b/>
          <w:sz w:val="26"/>
          <w:szCs w:val="26"/>
        </w:rPr>
        <w:t>88 млн. 411 тис. 449 гривень,</w:t>
      </w:r>
      <w:r w:rsidRPr="0082492E">
        <w:rPr>
          <w:rFonts w:ascii="Times New Roman" w:hAnsi="Times New Roman" w:cs="Times New Roman"/>
          <w:sz w:val="26"/>
          <w:szCs w:val="26"/>
        </w:rPr>
        <w:t xml:space="preserve"> сума, </w:t>
      </w:r>
      <w:r w:rsidRPr="0082492E">
        <w:rPr>
          <w:rFonts w:ascii="Times New Roman" w:hAnsi="Times New Roman" w:cs="Times New Roman"/>
          <w:bCs/>
          <w:iCs/>
          <w:sz w:val="26"/>
          <w:szCs w:val="26"/>
        </w:rPr>
        <w:t>присуджена до стягнення</w:t>
      </w:r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9B3DB7" w:rsidRPr="0082492E">
        <w:rPr>
          <w:rFonts w:ascii="Times New Roman" w:hAnsi="Times New Roman" w:cs="Times New Roman"/>
          <w:sz w:val="26"/>
          <w:szCs w:val="26"/>
        </w:rPr>
        <w:t>–</w:t>
      </w:r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82492E">
        <w:rPr>
          <w:rFonts w:ascii="Times New Roman" w:hAnsi="Times New Roman" w:cs="Times New Roman"/>
          <w:b/>
          <w:sz w:val="26"/>
          <w:szCs w:val="26"/>
        </w:rPr>
        <w:t>32 млн. 89 тис. 300 гривень</w:t>
      </w:r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4C6D89" w:rsidRPr="0082492E">
        <w:rPr>
          <w:rFonts w:ascii="Times New Roman" w:hAnsi="Times New Roman" w:cs="Times New Roman"/>
          <w:bCs/>
          <w:iCs/>
          <w:sz w:val="26"/>
          <w:szCs w:val="26"/>
        </w:rPr>
        <w:t xml:space="preserve">(Графік </w:t>
      </w:r>
      <w:r w:rsidR="00B215F9" w:rsidRPr="0082492E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="004C6D89" w:rsidRPr="0082492E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0E1E6A" w:rsidRPr="0082492E" w:rsidRDefault="000E1E6A" w:rsidP="007E5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45512" w:rsidRPr="0082492E" w:rsidRDefault="00945512" w:rsidP="00B7238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945512" w:rsidRPr="0082492E" w:rsidRDefault="00945512" w:rsidP="00945512">
      <w:pPr>
        <w:spacing w:after="0" w:line="240" w:lineRule="auto"/>
        <w:ind w:left="-1134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82492E">
        <w:rPr>
          <w:rFonts w:ascii="Times New Roman" w:hAnsi="Times New Roman" w:cs="Times New Roman"/>
          <w:bCs/>
          <w:iCs/>
          <w:noProof/>
          <w:sz w:val="26"/>
          <w:szCs w:val="26"/>
          <w:lang w:eastAsia="uk-UA"/>
        </w:rPr>
        <w:lastRenderedPageBreak/>
        <w:drawing>
          <wp:inline distT="0" distB="0" distL="0" distR="0" wp14:anchorId="2777960A" wp14:editId="31C3D440">
            <wp:extent cx="6079066" cy="4106333"/>
            <wp:effectExtent l="0" t="0" r="17145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5F9" w:rsidRDefault="00B215F9" w:rsidP="00B215F9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82492E">
        <w:rPr>
          <w:rFonts w:ascii="Times New Roman" w:hAnsi="Times New Roman" w:cs="Times New Roman"/>
          <w:sz w:val="20"/>
          <w:szCs w:val="20"/>
        </w:rPr>
        <w:t>Графік 6</w:t>
      </w:r>
    </w:p>
    <w:p w:rsidR="00D41AC4" w:rsidRPr="0082492E" w:rsidRDefault="00D41AC4" w:rsidP="00B215F9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D41AC4" w:rsidRPr="0082492E" w:rsidRDefault="009D19C8" w:rsidP="00D41AC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Окрім того, визначальним та важливим є факт зменшення залишку нерозглянутих справ та матеріалів на кінець звітного періоду. Так, залишок нерозглянутих справ та матеріалів в </w:t>
      </w:r>
      <w:r w:rsidRPr="009D19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2017 році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склав </w:t>
      </w:r>
      <w:r w:rsidRPr="009D19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273 справи та матеріали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проти </w:t>
      </w:r>
      <w:r w:rsidRPr="009D19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340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 </w:t>
      </w:r>
      <w:r w:rsidRPr="009D19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2016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  <w:r w:rsidRPr="009D19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році.</w:t>
      </w:r>
      <w:r w:rsidR="00D41AC4" w:rsidRPr="00824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AC4" w:rsidRPr="0082492E">
        <w:rPr>
          <w:rFonts w:ascii="Times New Roman" w:hAnsi="Times New Roman" w:cs="Times New Roman"/>
          <w:sz w:val="26"/>
          <w:szCs w:val="26"/>
        </w:rPr>
        <w:t>(</w:t>
      </w:r>
      <w:r w:rsidR="000B5BA2">
        <w:rPr>
          <w:rFonts w:ascii="Times New Roman" w:hAnsi="Times New Roman" w:cs="Times New Roman"/>
          <w:sz w:val="26"/>
          <w:szCs w:val="26"/>
        </w:rPr>
        <w:t>Графік 7</w:t>
      </w:r>
      <w:r w:rsidR="00D41AC4" w:rsidRPr="0082492E">
        <w:rPr>
          <w:rFonts w:ascii="Times New Roman" w:hAnsi="Times New Roman" w:cs="Times New Roman"/>
          <w:sz w:val="26"/>
          <w:szCs w:val="26"/>
        </w:rPr>
        <w:t>).</w:t>
      </w:r>
    </w:p>
    <w:p w:rsidR="00D41AC4" w:rsidRPr="0082492E" w:rsidRDefault="00D41AC4" w:rsidP="00D41AC4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92E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33FB13AC" wp14:editId="422E896C">
            <wp:extent cx="5621573" cy="3283889"/>
            <wp:effectExtent l="0" t="0" r="1778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1AC4" w:rsidRPr="0082492E" w:rsidRDefault="000B5BA2" w:rsidP="00D41A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Графік</w:t>
      </w:r>
      <w:r w:rsidR="00D41AC4" w:rsidRPr="008249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</w:p>
    <w:p w:rsidR="000E1E6A" w:rsidRPr="0082492E" w:rsidRDefault="002B43CE" w:rsidP="000E1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А</w:t>
      </w:r>
      <w:r w:rsidR="000E1E6A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наліз розгляду адміністративних справ у розрізі категорій спорів</w:t>
      </w:r>
      <w:r w:rsidR="00625F2E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A427AE" w:rsidRPr="0082492E" w:rsidRDefault="00777643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 xml:space="preserve">Одним </w:t>
      </w:r>
      <w:r w:rsidR="0041227D" w:rsidRPr="0082492E">
        <w:rPr>
          <w:rFonts w:ascii="Times New Roman" w:hAnsi="Times New Roman" w:cs="Times New Roman"/>
          <w:sz w:val="26"/>
          <w:szCs w:val="26"/>
        </w:rPr>
        <w:t>і</w:t>
      </w:r>
      <w:r w:rsidRPr="0082492E">
        <w:rPr>
          <w:rFonts w:ascii="Times New Roman" w:hAnsi="Times New Roman" w:cs="Times New Roman"/>
          <w:sz w:val="26"/>
          <w:szCs w:val="26"/>
        </w:rPr>
        <w:t xml:space="preserve">з визначальних показників роботи суду є аналіз надходження справ в розрізі категорій спорів. </w:t>
      </w:r>
    </w:p>
    <w:p w:rsidR="001D4507" w:rsidRPr="0082492E" w:rsidRDefault="008444D7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777643"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667BC2">
        <w:rPr>
          <w:rFonts w:ascii="Times New Roman" w:hAnsi="Times New Roman" w:cs="Times New Roman"/>
          <w:sz w:val="26"/>
          <w:szCs w:val="26"/>
        </w:rPr>
        <w:t>2017 році найбільша кількість надходжень справ до суду спостерігалась по наступним категоріям</w:t>
      </w:r>
      <w:r w:rsidR="00777643" w:rsidRPr="0082492E">
        <w:rPr>
          <w:rFonts w:ascii="Times New Roman" w:hAnsi="Times New Roman" w:cs="Times New Roman"/>
          <w:sz w:val="26"/>
          <w:szCs w:val="26"/>
        </w:rPr>
        <w:t>:</w:t>
      </w:r>
    </w:p>
    <w:p w:rsidR="001D4507" w:rsidRPr="0082492E" w:rsidRDefault="00777643" w:rsidP="001D45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 xml:space="preserve"> справ щодо застосування податкового законодавства  </w:t>
      </w:r>
      <w:r w:rsidR="00120978" w:rsidRPr="0082492E">
        <w:rPr>
          <w:rFonts w:ascii="Times New Roman" w:hAnsi="Times New Roman" w:cs="Times New Roman"/>
          <w:b/>
          <w:sz w:val="26"/>
          <w:szCs w:val="26"/>
        </w:rPr>
        <w:t>2</w:t>
      </w:r>
      <w:r w:rsidR="00FB4678">
        <w:rPr>
          <w:rFonts w:ascii="Times New Roman" w:hAnsi="Times New Roman" w:cs="Times New Roman"/>
          <w:b/>
          <w:sz w:val="26"/>
          <w:szCs w:val="26"/>
        </w:rPr>
        <w:t>3</w:t>
      </w:r>
      <w:r w:rsidR="00120978" w:rsidRPr="0082492E">
        <w:rPr>
          <w:rFonts w:ascii="Times New Roman" w:hAnsi="Times New Roman" w:cs="Times New Roman"/>
          <w:b/>
          <w:sz w:val="26"/>
          <w:szCs w:val="26"/>
        </w:rPr>
        <w:t>%</w:t>
      </w:r>
      <w:r w:rsidR="00120978" w:rsidRPr="0082492E">
        <w:rPr>
          <w:rFonts w:ascii="Times New Roman" w:hAnsi="Times New Roman" w:cs="Times New Roman"/>
          <w:sz w:val="26"/>
          <w:szCs w:val="26"/>
        </w:rPr>
        <w:t xml:space="preserve"> від загальної кількості</w:t>
      </w:r>
      <w:r w:rsidR="00BF091E" w:rsidRPr="0082492E">
        <w:rPr>
          <w:rFonts w:ascii="Times New Roman" w:hAnsi="Times New Roman" w:cs="Times New Roman"/>
          <w:sz w:val="26"/>
          <w:szCs w:val="26"/>
        </w:rPr>
        <w:t xml:space="preserve"> справ, що </w:t>
      </w:r>
      <w:r w:rsidR="001D4507" w:rsidRPr="0082492E">
        <w:rPr>
          <w:rFonts w:ascii="Times New Roman" w:hAnsi="Times New Roman" w:cs="Times New Roman"/>
          <w:sz w:val="26"/>
          <w:szCs w:val="26"/>
        </w:rPr>
        <w:t>перебували в провадженні</w:t>
      </w:r>
      <w:r w:rsidR="00120978" w:rsidRPr="0082492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D4507" w:rsidRPr="0082492E" w:rsidRDefault="001D4507" w:rsidP="001D45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>справ</w:t>
      </w:r>
      <w:r w:rsidR="00120978" w:rsidRPr="0082492E">
        <w:rPr>
          <w:rFonts w:ascii="Times New Roman" w:hAnsi="Times New Roman" w:cs="Times New Roman"/>
          <w:sz w:val="26"/>
          <w:szCs w:val="26"/>
        </w:rPr>
        <w:t xml:space="preserve"> зі спорів з приводу реалізації публічної політики у сферах праці, зайнятості населення</w:t>
      </w:r>
      <w:r w:rsidR="00667BC2">
        <w:rPr>
          <w:rFonts w:ascii="Times New Roman" w:hAnsi="Times New Roman" w:cs="Times New Roman"/>
          <w:sz w:val="26"/>
          <w:szCs w:val="26"/>
        </w:rPr>
        <w:t>, пенсійного</w:t>
      </w:r>
      <w:r w:rsidR="00120978" w:rsidRPr="0082492E">
        <w:rPr>
          <w:rFonts w:ascii="Times New Roman" w:hAnsi="Times New Roman" w:cs="Times New Roman"/>
          <w:sz w:val="26"/>
          <w:szCs w:val="26"/>
        </w:rPr>
        <w:t xml:space="preserve"> та соціального захисту громадян </w:t>
      </w:r>
      <w:r w:rsidR="000B5BA2">
        <w:rPr>
          <w:rFonts w:ascii="Times New Roman" w:hAnsi="Times New Roman" w:cs="Times New Roman"/>
          <w:b/>
          <w:sz w:val="26"/>
          <w:szCs w:val="26"/>
        </w:rPr>
        <w:t>3</w:t>
      </w:r>
      <w:r w:rsidR="004B01D9">
        <w:rPr>
          <w:rFonts w:ascii="Times New Roman" w:hAnsi="Times New Roman" w:cs="Times New Roman"/>
          <w:b/>
          <w:sz w:val="26"/>
          <w:szCs w:val="26"/>
        </w:rPr>
        <w:t>9</w:t>
      </w:r>
      <w:r w:rsidR="00120978" w:rsidRPr="0082492E">
        <w:rPr>
          <w:rFonts w:ascii="Times New Roman" w:hAnsi="Times New Roman" w:cs="Times New Roman"/>
          <w:b/>
          <w:sz w:val="26"/>
          <w:szCs w:val="26"/>
        </w:rPr>
        <w:t>%</w:t>
      </w:r>
      <w:r w:rsidR="00120978"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BF091E" w:rsidRPr="0082492E">
        <w:rPr>
          <w:rFonts w:ascii="Times New Roman" w:hAnsi="Times New Roman" w:cs="Times New Roman"/>
          <w:sz w:val="26"/>
          <w:szCs w:val="26"/>
        </w:rPr>
        <w:t>від загальної кількості справ, що надійшли до суду</w:t>
      </w:r>
      <w:r w:rsidR="005F744A" w:rsidRPr="0082492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794F" w:rsidRPr="0082492E" w:rsidRDefault="001D4507" w:rsidP="003979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>справ</w:t>
      </w:r>
      <w:r w:rsidR="005F744A" w:rsidRPr="0082492E">
        <w:rPr>
          <w:rFonts w:ascii="Times New Roman" w:hAnsi="Times New Roman" w:cs="Times New Roman"/>
          <w:sz w:val="26"/>
          <w:szCs w:val="26"/>
        </w:rPr>
        <w:t xml:space="preserve"> зі спорів з приводу</w:t>
      </w:r>
      <w:r w:rsidR="004B01D9">
        <w:rPr>
          <w:rFonts w:ascii="Times New Roman" w:hAnsi="Times New Roman" w:cs="Times New Roman"/>
          <w:sz w:val="26"/>
          <w:szCs w:val="26"/>
        </w:rPr>
        <w:t xml:space="preserve"> правового статусу фізичних осіб та охорони праці </w:t>
      </w:r>
      <w:r w:rsidR="0039794F" w:rsidRPr="0082492E">
        <w:rPr>
          <w:rFonts w:ascii="Times New Roman" w:hAnsi="Times New Roman" w:cs="Times New Roman"/>
          <w:sz w:val="26"/>
          <w:szCs w:val="26"/>
        </w:rPr>
        <w:t xml:space="preserve">– </w:t>
      </w:r>
      <w:r w:rsidR="0039794F" w:rsidRPr="0082492E">
        <w:rPr>
          <w:rFonts w:ascii="Times New Roman" w:hAnsi="Times New Roman" w:cs="Times New Roman"/>
          <w:b/>
          <w:sz w:val="26"/>
          <w:szCs w:val="26"/>
        </w:rPr>
        <w:t>1</w:t>
      </w:r>
      <w:r w:rsidR="004B01D9">
        <w:rPr>
          <w:rFonts w:ascii="Times New Roman" w:hAnsi="Times New Roman" w:cs="Times New Roman"/>
          <w:b/>
          <w:sz w:val="26"/>
          <w:szCs w:val="26"/>
        </w:rPr>
        <w:t>1</w:t>
      </w:r>
      <w:r w:rsidR="0039794F" w:rsidRPr="0082492E">
        <w:rPr>
          <w:rFonts w:ascii="Times New Roman" w:hAnsi="Times New Roman" w:cs="Times New Roman"/>
          <w:b/>
          <w:sz w:val="26"/>
          <w:szCs w:val="26"/>
        </w:rPr>
        <w:t>%</w:t>
      </w:r>
      <w:r w:rsidR="0039794F" w:rsidRPr="0082492E">
        <w:rPr>
          <w:rFonts w:ascii="Times New Roman" w:hAnsi="Times New Roman" w:cs="Times New Roman"/>
          <w:sz w:val="26"/>
          <w:szCs w:val="26"/>
        </w:rPr>
        <w:t xml:space="preserve"> від загальної кількості справ, що надійшли до суду;</w:t>
      </w:r>
    </w:p>
    <w:p w:rsidR="003443F1" w:rsidRPr="0082492E" w:rsidRDefault="003443F1" w:rsidP="003443F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 xml:space="preserve">справ зі спорів з відносин публічної служби – </w:t>
      </w:r>
      <w:r w:rsidR="004B01D9">
        <w:rPr>
          <w:rFonts w:ascii="Times New Roman" w:hAnsi="Times New Roman" w:cs="Times New Roman"/>
          <w:b/>
          <w:sz w:val="26"/>
          <w:szCs w:val="26"/>
        </w:rPr>
        <w:t>7</w:t>
      </w:r>
      <w:r w:rsidRPr="0082492E">
        <w:rPr>
          <w:rFonts w:ascii="Times New Roman" w:hAnsi="Times New Roman" w:cs="Times New Roman"/>
          <w:b/>
          <w:sz w:val="26"/>
          <w:szCs w:val="26"/>
        </w:rPr>
        <w:t>%</w:t>
      </w:r>
      <w:r w:rsidRPr="0082492E">
        <w:rPr>
          <w:rFonts w:ascii="Times New Roman" w:hAnsi="Times New Roman" w:cs="Times New Roman"/>
          <w:sz w:val="26"/>
          <w:szCs w:val="26"/>
        </w:rPr>
        <w:t xml:space="preserve"> від загальної кількості справ, що надійшли до суду.</w:t>
      </w:r>
    </w:p>
    <w:p w:rsidR="00777643" w:rsidRPr="0082492E" w:rsidRDefault="00777643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sz w:val="26"/>
          <w:szCs w:val="26"/>
        </w:rPr>
        <w:t xml:space="preserve">В </w:t>
      </w:r>
      <w:r w:rsidR="007116F9" w:rsidRPr="0082492E">
        <w:rPr>
          <w:rFonts w:ascii="Times New Roman" w:hAnsi="Times New Roman" w:cs="Times New Roman"/>
          <w:sz w:val="26"/>
          <w:szCs w:val="26"/>
        </w:rPr>
        <w:t>наступн</w:t>
      </w:r>
      <w:r w:rsidR="00667BC2">
        <w:rPr>
          <w:rFonts w:ascii="Times New Roman" w:hAnsi="Times New Roman" w:cs="Times New Roman"/>
          <w:sz w:val="26"/>
          <w:szCs w:val="26"/>
        </w:rPr>
        <w:t>ому</w:t>
      </w:r>
      <w:r w:rsidR="007116F9"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667BC2">
        <w:rPr>
          <w:rFonts w:ascii="Times New Roman" w:hAnsi="Times New Roman" w:cs="Times New Roman"/>
          <w:sz w:val="26"/>
          <w:szCs w:val="26"/>
        </w:rPr>
        <w:t>графіку</w:t>
      </w:r>
      <w:r w:rsidR="000C088F"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Pr="0082492E">
        <w:rPr>
          <w:rFonts w:ascii="Times New Roman" w:hAnsi="Times New Roman" w:cs="Times New Roman"/>
          <w:sz w:val="26"/>
          <w:szCs w:val="26"/>
        </w:rPr>
        <w:t xml:space="preserve">наведено порівняльну інформацію щодо </w:t>
      </w:r>
      <w:r w:rsidR="00827C28" w:rsidRPr="0082492E">
        <w:rPr>
          <w:rFonts w:ascii="Times New Roman" w:hAnsi="Times New Roman" w:cs="Times New Roman"/>
          <w:sz w:val="26"/>
          <w:szCs w:val="26"/>
        </w:rPr>
        <w:t>перебування в провадженні справ за вказаними категорі</w:t>
      </w:r>
      <w:r w:rsidR="009052F5">
        <w:rPr>
          <w:rFonts w:ascii="Times New Roman" w:hAnsi="Times New Roman" w:cs="Times New Roman"/>
          <w:sz w:val="26"/>
          <w:szCs w:val="26"/>
        </w:rPr>
        <w:t>ями</w:t>
      </w:r>
      <w:r w:rsidR="00827C28" w:rsidRPr="0082492E">
        <w:rPr>
          <w:rFonts w:ascii="Times New Roman" w:hAnsi="Times New Roman" w:cs="Times New Roman"/>
          <w:sz w:val="26"/>
          <w:szCs w:val="26"/>
        </w:rPr>
        <w:t xml:space="preserve"> спорів </w:t>
      </w:r>
      <w:r w:rsidRPr="0082492E">
        <w:rPr>
          <w:rFonts w:ascii="Times New Roman" w:hAnsi="Times New Roman" w:cs="Times New Roman"/>
          <w:sz w:val="26"/>
          <w:szCs w:val="26"/>
        </w:rPr>
        <w:t xml:space="preserve">в </w:t>
      </w:r>
      <w:r w:rsidR="000B057C" w:rsidRPr="0082492E">
        <w:rPr>
          <w:rFonts w:ascii="Times New Roman" w:hAnsi="Times New Roman" w:cs="Times New Roman"/>
          <w:sz w:val="26"/>
          <w:szCs w:val="26"/>
        </w:rPr>
        <w:t>Чернівецького</w:t>
      </w:r>
      <w:r w:rsidRPr="0082492E">
        <w:rPr>
          <w:rFonts w:ascii="Times New Roman" w:hAnsi="Times New Roman" w:cs="Times New Roman"/>
          <w:sz w:val="26"/>
          <w:szCs w:val="26"/>
        </w:rPr>
        <w:t xml:space="preserve"> окружного адміністративного суду </w:t>
      </w:r>
      <w:r w:rsidR="006C5802" w:rsidRPr="0082492E">
        <w:rPr>
          <w:rFonts w:ascii="Times New Roman" w:hAnsi="Times New Roman" w:cs="Times New Roman"/>
          <w:sz w:val="26"/>
          <w:szCs w:val="26"/>
        </w:rPr>
        <w:t>впродовж</w:t>
      </w:r>
      <w:r w:rsidRPr="0082492E">
        <w:rPr>
          <w:rFonts w:ascii="Times New Roman" w:hAnsi="Times New Roman" w:cs="Times New Roman"/>
          <w:sz w:val="26"/>
          <w:szCs w:val="26"/>
        </w:rPr>
        <w:t xml:space="preserve"> </w:t>
      </w:r>
      <w:r w:rsidR="0011704F" w:rsidRPr="0082492E">
        <w:rPr>
          <w:rFonts w:ascii="Times New Roman" w:hAnsi="Times New Roman" w:cs="Times New Roman"/>
          <w:sz w:val="26"/>
          <w:szCs w:val="26"/>
        </w:rPr>
        <w:t>2016 та 2017 року</w:t>
      </w:r>
      <w:r w:rsidRPr="0082492E">
        <w:rPr>
          <w:rFonts w:ascii="Times New Roman" w:hAnsi="Times New Roman" w:cs="Times New Roman"/>
          <w:sz w:val="26"/>
          <w:szCs w:val="26"/>
        </w:rPr>
        <w:t>.</w:t>
      </w:r>
    </w:p>
    <w:p w:rsidR="00F67140" w:rsidRPr="0082492E" w:rsidRDefault="00F67140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7140" w:rsidRPr="0082492E" w:rsidRDefault="0037494E" w:rsidP="00374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92E">
        <w:rPr>
          <w:rFonts w:ascii="Times New Roman" w:hAnsi="Times New Roman" w:cs="Times New Roman"/>
          <w:bCs/>
          <w:iCs/>
          <w:noProof/>
          <w:sz w:val="26"/>
          <w:szCs w:val="26"/>
          <w:lang w:eastAsia="uk-UA"/>
        </w:rPr>
        <w:drawing>
          <wp:inline distT="0" distB="0" distL="0" distR="0" wp14:anchorId="40B27431" wp14:editId="19204695">
            <wp:extent cx="5940425" cy="4012409"/>
            <wp:effectExtent l="0" t="0" r="22225" b="266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0B1E" w:rsidRPr="0082492E" w:rsidRDefault="00770B1E" w:rsidP="00770B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70B1E" w:rsidRPr="0082492E" w:rsidRDefault="00770B1E" w:rsidP="00770B1E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82492E">
        <w:rPr>
          <w:rFonts w:ascii="Times New Roman" w:hAnsi="Times New Roman" w:cs="Times New Roman"/>
          <w:sz w:val="20"/>
          <w:szCs w:val="20"/>
        </w:rPr>
        <w:t>Графік 7</w:t>
      </w:r>
    </w:p>
    <w:p w:rsidR="007E51F6" w:rsidRPr="0082492E" w:rsidRDefault="007E51F6" w:rsidP="007E51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Відомості щодо справляння, звільнення від сплати та повернення судового збору</w:t>
      </w:r>
      <w:r w:rsidR="00EB3EE9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1D208E" w:rsidRDefault="00A169FD" w:rsidP="00490D1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Впродовж</w:t>
      </w:r>
      <w:r w:rsidR="007E51F6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2017 року позивачами на рахунок </w:t>
      </w:r>
      <w:r w:rsidR="00FB467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</w:t>
      </w:r>
      <w:r w:rsidR="007E51F6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уду фактично сплачено судов</w:t>
      </w:r>
      <w:r w:rsidR="00FB467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ого</w:t>
      </w:r>
      <w:r w:rsidR="007E51F6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зб</w:t>
      </w:r>
      <w:r w:rsidR="00FB467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="007E51F6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</w:t>
      </w:r>
      <w:r w:rsidR="00FB467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="007E51F6" w:rsidRPr="008249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 розмірі </w:t>
      </w:r>
      <w:r w:rsidR="00C727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1 млн. 794 тис. 346 гривень</w:t>
      </w:r>
      <w:r w:rsidR="00C727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що на </w:t>
      </w:r>
      <w:r w:rsidR="00C727DB" w:rsidRPr="00C727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16%</w:t>
      </w:r>
      <w:r w:rsidR="00C727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менше ніж за </w:t>
      </w:r>
      <w:r w:rsidR="00C727DB" w:rsidRPr="00C727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2016</w:t>
      </w:r>
      <w:r w:rsidR="00C727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C727DB" w:rsidRPr="00C727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рік</w:t>
      </w:r>
      <w:r w:rsidR="00C727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– </w:t>
      </w:r>
      <w:r w:rsidR="00C727DB" w:rsidRPr="00C727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 млн. 76 тис. 369 грн.</w:t>
      </w:r>
      <w:r w:rsidR="00C727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90D1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Однак, варто відзначити, що основною причиною зменшення надходжень судового збору є внесення Верховною Радою України змін до Закону України «Про судовий збір», якими було встановлено додаткові пільг</w:t>
      </w:r>
      <w:r w:rsidR="00E34FE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</w:t>
      </w:r>
      <w:r w:rsidR="00490D1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щодо сплати </w:t>
      </w:r>
      <w:r w:rsidR="001A18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такого</w:t>
      </w:r>
      <w:r w:rsidR="00490D1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збору, як для органів державної влади, так, і для деяких категорій фізичних і юридичних осіб.</w:t>
      </w:r>
    </w:p>
    <w:p w:rsidR="00490D1B" w:rsidRPr="0082492E" w:rsidRDefault="00490D1B" w:rsidP="00490D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2492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lastRenderedPageBreak/>
        <w:drawing>
          <wp:inline distT="0" distB="0" distL="0" distR="0" wp14:anchorId="28079C57" wp14:editId="470572AC">
            <wp:extent cx="5949537" cy="3319153"/>
            <wp:effectExtent l="0" t="0" r="1333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0D1B" w:rsidRPr="00557DC1" w:rsidRDefault="00557DC1" w:rsidP="0049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Графік </w:t>
      </w:r>
      <w:r w:rsidRPr="00557DC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8</w:t>
      </w:r>
    </w:p>
    <w:p w:rsidR="00F87907" w:rsidRPr="0082492E" w:rsidRDefault="00F87907" w:rsidP="00F879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  Відомості щодо </w:t>
      </w:r>
      <w:r w:rsidR="00DA70F2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видачі виконавчих листів</w:t>
      </w:r>
    </w:p>
    <w:p w:rsidR="00F87907" w:rsidRPr="0082492E" w:rsidRDefault="005F54E5" w:rsidP="00F87907">
      <w:pPr>
        <w:shd w:val="clear" w:color="auto" w:fill="FFFFFF"/>
        <w:spacing w:before="100" w:beforeAutospacing="1" w:after="100" w:afterAutospacing="1" w:line="242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У звітному періоді Чернівецьким окружним адміністративним судом було видано</w:t>
      </w:r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9B31AF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–</w:t>
      </w:r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 </w:t>
      </w:r>
      <w:r w:rsidR="00482D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>439</w:t>
      </w:r>
      <w:r w:rsidR="009B31AF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84389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виконавчих документа</w:t>
      </w:r>
      <w:r w:rsidR="00AF1B48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на суму </w:t>
      </w:r>
      <w:r w:rsidR="00482D2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uk-UA"/>
        </w:rPr>
        <w:t>40 млн. 644 тис. 964 гривень</w:t>
      </w:r>
      <w:r w:rsidR="00AF1B48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(</w:t>
      </w:r>
      <w:proofErr w:type="spellStart"/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про</w:t>
      </w:r>
      <w:proofErr w:type="spellEnd"/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ти</w:t>
      </w:r>
      <w:r w:rsidR="00F87907" w:rsidRPr="0082492E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  <w:r w:rsidR="00482D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>307</w:t>
      </w:r>
      <w:r w:rsidR="00764D15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764D15" w:rsidRPr="0082492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uk-UA"/>
        </w:rPr>
        <w:t>на суму</w:t>
      </w:r>
      <w:r w:rsidR="00764D15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482D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>5 млн. 584 тис. 896</w:t>
      </w:r>
      <w:r w:rsidR="00764D15" w:rsidRPr="00824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 гривень</w:t>
      </w:r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) в минулому році. </w:t>
      </w:r>
      <w:r w:rsidR="008267BB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(Графік </w:t>
      </w:r>
      <w:r w:rsidR="00557D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t>9</w:t>
      </w:r>
      <w:r w:rsidR="008267BB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)</w:t>
      </w:r>
      <w:r w:rsidR="00F87907" w:rsidRPr="008249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.</w:t>
      </w:r>
    </w:p>
    <w:p w:rsidR="0022791E" w:rsidRPr="0082492E" w:rsidRDefault="00482D28" w:rsidP="00830D86">
      <w:pPr>
        <w:shd w:val="clear" w:color="auto" w:fill="FFFFFF"/>
        <w:spacing w:before="100" w:beforeAutospacing="1" w:after="100" w:afterAutospacing="1" w:line="242" w:lineRule="atLeast"/>
        <w:ind w:right="-28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482D28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4137371</wp:posOffset>
                </wp:positionH>
                <wp:positionV relativeFrom="paragraph">
                  <wp:posOffset>123825</wp:posOffset>
                </wp:positionV>
                <wp:extent cx="926276" cy="4690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46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28" w:rsidRPr="00482D28" w:rsidRDefault="00482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2D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40644964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8pt;margin-top:9.75pt;width:72.9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" filled="f" stroked="f">
                <v:textbox>
                  <w:txbxContent>
                    <w:p w:rsidR="00482D28" w:rsidRPr="00482D28" w:rsidRDefault="00482D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2D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40644964</w:t>
                      </w:r>
                    </w:p>
                  </w:txbxContent>
                </v:textbox>
              </v:shape>
            </w:pict>
          </mc:Fallback>
        </mc:AlternateContent>
      </w:r>
      <w:r w:rsidR="0022791E" w:rsidRPr="0082492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 wp14:anchorId="60600582" wp14:editId="5EC0301B">
            <wp:extent cx="2870200" cy="2912533"/>
            <wp:effectExtent l="0" t="0" r="25400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2791E" w:rsidRPr="0082492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 wp14:anchorId="0E025A85" wp14:editId="0B576A93">
            <wp:extent cx="3048000" cy="2912533"/>
            <wp:effectExtent l="0" t="0" r="19050" b="215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67BB" w:rsidRPr="00557DC1" w:rsidRDefault="008267BB" w:rsidP="008267BB">
      <w:pPr>
        <w:shd w:val="clear" w:color="auto" w:fill="FFFFFF"/>
        <w:spacing w:before="100" w:beforeAutospacing="1" w:after="100" w:afterAutospacing="1" w:line="242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uk-UA"/>
        </w:rPr>
      </w:pPr>
      <w:r w:rsidRPr="008249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Графік </w:t>
      </w:r>
      <w:r w:rsidR="00557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uk-UA"/>
        </w:rPr>
        <w:t>9</w:t>
      </w:r>
    </w:p>
    <w:p w:rsidR="00A7278D" w:rsidRDefault="00A7278D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A7278D" w:rsidRDefault="00A7278D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bookmarkStart w:id="0" w:name="_GoBack"/>
      <w:bookmarkEnd w:id="0"/>
    </w:p>
    <w:p w:rsidR="00A7278D" w:rsidRDefault="00A7278D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A7278D" w:rsidRDefault="00A7278D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A7278D" w:rsidRDefault="00A7278D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7C6A64" w:rsidRDefault="007C6A64" w:rsidP="00F65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sectPr w:rsidR="007C6A64" w:rsidSect="00D03551">
      <w:type w:val="continuous"/>
      <w:pgSz w:w="11906" w:h="16838"/>
      <w:pgMar w:top="568" w:right="851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9D9"/>
    <w:multiLevelType w:val="hybridMultilevel"/>
    <w:tmpl w:val="6D56150E"/>
    <w:lvl w:ilvl="0" w:tplc="E75AE71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A7468B"/>
    <w:multiLevelType w:val="hybridMultilevel"/>
    <w:tmpl w:val="25940D12"/>
    <w:lvl w:ilvl="0" w:tplc="5DD8C52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3AF6"/>
    <w:multiLevelType w:val="hybridMultilevel"/>
    <w:tmpl w:val="A9E08960"/>
    <w:lvl w:ilvl="0" w:tplc="D520B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AEB6642"/>
    <w:multiLevelType w:val="hybridMultilevel"/>
    <w:tmpl w:val="FC284C46"/>
    <w:lvl w:ilvl="0" w:tplc="B39E4AAC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8"/>
    <w:rsid w:val="00003C16"/>
    <w:rsid w:val="00006C3B"/>
    <w:rsid w:val="00010CB7"/>
    <w:rsid w:val="000111A2"/>
    <w:rsid w:val="00014144"/>
    <w:rsid w:val="00015CF2"/>
    <w:rsid w:val="00023532"/>
    <w:rsid w:val="000255CF"/>
    <w:rsid w:val="00032B17"/>
    <w:rsid w:val="000419DC"/>
    <w:rsid w:val="0004382C"/>
    <w:rsid w:val="00044E3D"/>
    <w:rsid w:val="00047805"/>
    <w:rsid w:val="00060EFE"/>
    <w:rsid w:val="000626DB"/>
    <w:rsid w:val="000745C7"/>
    <w:rsid w:val="0007573B"/>
    <w:rsid w:val="0007643D"/>
    <w:rsid w:val="000812FE"/>
    <w:rsid w:val="00091556"/>
    <w:rsid w:val="000A1149"/>
    <w:rsid w:val="000B057C"/>
    <w:rsid w:val="000B1FDB"/>
    <w:rsid w:val="000B206A"/>
    <w:rsid w:val="000B5BA2"/>
    <w:rsid w:val="000C088F"/>
    <w:rsid w:val="000C34C6"/>
    <w:rsid w:val="000C4BE4"/>
    <w:rsid w:val="000D1E5D"/>
    <w:rsid w:val="000D703D"/>
    <w:rsid w:val="000E0773"/>
    <w:rsid w:val="000E1E6A"/>
    <w:rsid w:val="000E72DC"/>
    <w:rsid w:val="000E743C"/>
    <w:rsid w:val="000F1D46"/>
    <w:rsid w:val="000F1EFB"/>
    <w:rsid w:val="00101973"/>
    <w:rsid w:val="00105A5B"/>
    <w:rsid w:val="00106EE8"/>
    <w:rsid w:val="0011704F"/>
    <w:rsid w:val="00120978"/>
    <w:rsid w:val="00122494"/>
    <w:rsid w:val="0012366F"/>
    <w:rsid w:val="001243F1"/>
    <w:rsid w:val="00125F09"/>
    <w:rsid w:val="00134455"/>
    <w:rsid w:val="00143281"/>
    <w:rsid w:val="0015322B"/>
    <w:rsid w:val="00154558"/>
    <w:rsid w:val="00172E17"/>
    <w:rsid w:val="001732A8"/>
    <w:rsid w:val="00177EF9"/>
    <w:rsid w:val="00180D23"/>
    <w:rsid w:val="0018277A"/>
    <w:rsid w:val="00185D6F"/>
    <w:rsid w:val="00192553"/>
    <w:rsid w:val="00194248"/>
    <w:rsid w:val="00195C1C"/>
    <w:rsid w:val="001979DA"/>
    <w:rsid w:val="001A152F"/>
    <w:rsid w:val="001A18A3"/>
    <w:rsid w:val="001A5B63"/>
    <w:rsid w:val="001A75A8"/>
    <w:rsid w:val="001B1B23"/>
    <w:rsid w:val="001B220B"/>
    <w:rsid w:val="001B7586"/>
    <w:rsid w:val="001C719E"/>
    <w:rsid w:val="001D041E"/>
    <w:rsid w:val="001D208E"/>
    <w:rsid w:val="001D4507"/>
    <w:rsid w:val="001F7144"/>
    <w:rsid w:val="002010D5"/>
    <w:rsid w:val="0020520A"/>
    <w:rsid w:val="00207113"/>
    <w:rsid w:val="00211E1A"/>
    <w:rsid w:val="0022791E"/>
    <w:rsid w:val="00227F74"/>
    <w:rsid w:val="0023249B"/>
    <w:rsid w:val="00234236"/>
    <w:rsid w:val="002442CA"/>
    <w:rsid w:val="00244CEA"/>
    <w:rsid w:val="0024570A"/>
    <w:rsid w:val="00247EE3"/>
    <w:rsid w:val="00255870"/>
    <w:rsid w:val="00261CF0"/>
    <w:rsid w:val="00264035"/>
    <w:rsid w:val="0027375A"/>
    <w:rsid w:val="00285436"/>
    <w:rsid w:val="00286AA0"/>
    <w:rsid w:val="00296264"/>
    <w:rsid w:val="002A13DD"/>
    <w:rsid w:val="002A6AC6"/>
    <w:rsid w:val="002A7DBE"/>
    <w:rsid w:val="002B06FD"/>
    <w:rsid w:val="002B43CE"/>
    <w:rsid w:val="002B749D"/>
    <w:rsid w:val="002B7A99"/>
    <w:rsid w:val="002C5563"/>
    <w:rsid w:val="002C5D71"/>
    <w:rsid w:val="002C72D5"/>
    <w:rsid w:val="002C73CA"/>
    <w:rsid w:val="002D021E"/>
    <w:rsid w:val="002D5B19"/>
    <w:rsid w:val="002E2386"/>
    <w:rsid w:val="002E3E74"/>
    <w:rsid w:val="002F35E1"/>
    <w:rsid w:val="002F631D"/>
    <w:rsid w:val="003046DD"/>
    <w:rsid w:val="00310E0C"/>
    <w:rsid w:val="00311D48"/>
    <w:rsid w:val="0031230E"/>
    <w:rsid w:val="00321692"/>
    <w:rsid w:val="00327277"/>
    <w:rsid w:val="003306C0"/>
    <w:rsid w:val="00332077"/>
    <w:rsid w:val="00332B77"/>
    <w:rsid w:val="003340F6"/>
    <w:rsid w:val="00341145"/>
    <w:rsid w:val="003443F1"/>
    <w:rsid w:val="00345AA7"/>
    <w:rsid w:val="003467E0"/>
    <w:rsid w:val="0034692E"/>
    <w:rsid w:val="00346BCD"/>
    <w:rsid w:val="003476A0"/>
    <w:rsid w:val="00350E0D"/>
    <w:rsid w:val="0037494E"/>
    <w:rsid w:val="00375723"/>
    <w:rsid w:val="00377AE2"/>
    <w:rsid w:val="00381F17"/>
    <w:rsid w:val="003861D1"/>
    <w:rsid w:val="003922FF"/>
    <w:rsid w:val="003923AF"/>
    <w:rsid w:val="0039255D"/>
    <w:rsid w:val="00392649"/>
    <w:rsid w:val="00394EAE"/>
    <w:rsid w:val="00396D85"/>
    <w:rsid w:val="0039794F"/>
    <w:rsid w:val="00397CE1"/>
    <w:rsid w:val="003A2452"/>
    <w:rsid w:val="003B426A"/>
    <w:rsid w:val="003D05D1"/>
    <w:rsid w:val="003D5C0B"/>
    <w:rsid w:val="003D6657"/>
    <w:rsid w:val="003D6745"/>
    <w:rsid w:val="003F2D39"/>
    <w:rsid w:val="003F3CA3"/>
    <w:rsid w:val="003F5458"/>
    <w:rsid w:val="00403345"/>
    <w:rsid w:val="0041227D"/>
    <w:rsid w:val="004133F0"/>
    <w:rsid w:val="00413666"/>
    <w:rsid w:val="004200E7"/>
    <w:rsid w:val="00421570"/>
    <w:rsid w:val="00424D81"/>
    <w:rsid w:val="00435A9D"/>
    <w:rsid w:val="00436795"/>
    <w:rsid w:val="00446323"/>
    <w:rsid w:val="00450E89"/>
    <w:rsid w:val="00455FE0"/>
    <w:rsid w:val="00461E61"/>
    <w:rsid w:val="004644DB"/>
    <w:rsid w:val="00466CA0"/>
    <w:rsid w:val="0047580A"/>
    <w:rsid w:val="00482B03"/>
    <w:rsid w:val="00482BB3"/>
    <w:rsid w:val="00482D28"/>
    <w:rsid w:val="004857B9"/>
    <w:rsid w:val="004859B8"/>
    <w:rsid w:val="00487691"/>
    <w:rsid w:val="004878E3"/>
    <w:rsid w:val="00490D1B"/>
    <w:rsid w:val="00491AD4"/>
    <w:rsid w:val="004A1489"/>
    <w:rsid w:val="004A2DDB"/>
    <w:rsid w:val="004A3D7E"/>
    <w:rsid w:val="004B01D9"/>
    <w:rsid w:val="004B1DC3"/>
    <w:rsid w:val="004B2962"/>
    <w:rsid w:val="004B6CC1"/>
    <w:rsid w:val="004C1C0B"/>
    <w:rsid w:val="004C6D89"/>
    <w:rsid w:val="004D4E33"/>
    <w:rsid w:val="004D7F5F"/>
    <w:rsid w:val="004E0492"/>
    <w:rsid w:val="004E0BC0"/>
    <w:rsid w:val="004E1C51"/>
    <w:rsid w:val="004E651E"/>
    <w:rsid w:val="004F32AF"/>
    <w:rsid w:val="004F3818"/>
    <w:rsid w:val="004F3B70"/>
    <w:rsid w:val="004F55C8"/>
    <w:rsid w:val="00504214"/>
    <w:rsid w:val="00504B42"/>
    <w:rsid w:val="005263D5"/>
    <w:rsid w:val="00527A71"/>
    <w:rsid w:val="00533408"/>
    <w:rsid w:val="00533B09"/>
    <w:rsid w:val="00534B42"/>
    <w:rsid w:val="00536B8F"/>
    <w:rsid w:val="00542379"/>
    <w:rsid w:val="00545D33"/>
    <w:rsid w:val="00557DC1"/>
    <w:rsid w:val="005660CC"/>
    <w:rsid w:val="00571768"/>
    <w:rsid w:val="005756BF"/>
    <w:rsid w:val="005769FE"/>
    <w:rsid w:val="00587D5F"/>
    <w:rsid w:val="00591F24"/>
    <w:rsid w:val="00592F78"/>
    <w:rsid w:val="005A1DF3"/>
    <w:rsid w:val="005A79F2"/>
    <w:rsid w:val="005A7CFD"/>
    <w:rsid w:val="005B12B0"/>
    <w:rsid w:val="005B1E7B"/>
    <w:rsid w:val="005B604E"/>
    <w:rsid w:val="005C2394"/>
    <w:rsid w:val="005C4F61"/>
    <w:rsid w:val="005E3F12"/>
    <w:rsid w:val="005F54E5"/>
    <w:rsid w:val="005F744A"/>
    <w:rsid w:val="006025B0"/>
    <w:rsid w:val="0060571F"/>
    <w:rsid w:val="0060607E"/>
    <w:rsid w:val="00612056"/>
    <w:rsid w:val="00612F13"/>
    <w:rsid w:val="00614DC8"/>
    <w:rsid w:val="0061673C"/>
    <w:rsid w:val="00617012"/>
    <w:rsid w:val="00621AA4"/>
    <w:rsid w:val="00623D49"/>
    <w:rsid w:val="00625F2E"/>
    <w:rsid w:val="00630C5B"/>
    <w:rsid w:val="0064043B"/>
    <w:rsid w:val="0066212E"/>
    <w:rsid w:val="006627FC"/>
    <w:rsid w:val="00667BC2"/>
    <w:rsid w:val="00670572"/>
    <w:rsid w:val="006705A8"/>
    <w:rsid w:val="006807FD"/>
    <w:rsid w:val="00684315"/>
    <w:rsid w:val="006846F4"/>
    <w:rsid w:val="00692391"/>
    <w:rsid w:val="006951E3"/>
    <w:rsid w:val="006A79C4"/>
    <w:rsid w:val="006B04AB"/>
    <w:rsid w:val="006C03A1"/>
    <w:rsid w:val="006C1142"/>
    <w:rsid w:val="006C4227"/>
    <w:rsid w:val="006C5802"/>
    <w:rsid w:val="006C7C70"/>
    <w:rsid w:val="006D6EBD"/>
    <w:rsid w:val="006E20EE"/>
    <w:rsid w:val="006E35DA"/>
    <w:rsid w:val="006E55EF"/>
    <w:rsid w:val="006E76D4"/>
    <w:rsid w:val="007024E7"/>
    <w:rsid w:val="007061FD"/>
    <w:rsid w:val="007116F9"/>
    <w:rsid w:val="00714B24"/>
    <w:rsid w:val="0071628D"/>
    <w:rsid w:val="007204CF"/>
    <w:rsid w:val="00722207"/>
    <w:rsid w:val="007222A3"/>
    <w:rsid w:val="00730431"/>
    <w:rsid w:val="0073131A"/>
    <w:rsid w:val="007363C7"/>
    <w:rsid w:val="00742D4B"/>
    <w:rsid w:val="00743275"/>
    <w:rsid w:val="00744A02"/>
    <w:rsid w:val="007469F4"/>
    <w:rsid w:val="00761FDB"/>
    <w:rsid w:val="00764D15"/>
    <w:rsid w:val="00770B1E"/>
    <w:rsid w:val="00770EC0"/>
    <w:rsid w:val="00773A63"/>
    <w:rsid w:val="00777643"/>
    <w:rsid w:val="00780E1D"/>
    <w:rsid w:val="007815F8"/>
    <w:rsid w:val="007818AC"/>
    <w:rsid w:val="0078370D"/>
    <w:rsid w:val="0078572B"/>
    <w:rsid w:val="00791A9E"/>
    <w:rsid w:val="007937EF"/>
    <w:rsid w:val="007938D3"/>
    <w:rsid w:val="007A71A0"/>
    <w:rsid w:val="007B0732"/>
    <w:rsid w:val="007B1551"/>
    <w:rsid w:val="007C2F66"/>
    <w:rsid w:val="007C6A64"/>
    <w:rsid w:val="007C753E"/>
    <w:rsid w:val="007D1399"/>
    <w:rsid w:val="007D1CF3"/>
    <w:rsid w:val="007D37A9"/>
    <w:rsid w:val="007E0204"/>
    <w:rsid w:val="007E51F6"/>
    <w:rsid w:val="007F4D0F"/>
    <w:rsid w:val="007F7045"/>
    <w:rsid w:val="00803647"/>
    <w:rsid w:val="00803A71"/>
    <w:rsid w:val="00804911"/>
    <w:rsid w:val="00811581"/>
    <w:rsid w:val="008123D4"/>
    <w:rsid w:val="0082492E"/>
    <w:rsid w:val="00825329"/>
    <w:rsid w:val="008267BB"/>
    <w:rsid w:val="0082718C"/>
    <w:rsid w:val="00827C28"/>
    <w:rsid w:val="00830D86"/>
    <w:rsid w:val="00832DF4"/>
    <w:rsid w:val="0083354A"/>
    <w:rsid w:val="00840800"/>
    <w:rsid w:val="00840B18"/>
    <w:rsid w:val="008412C2"/>
    <w:rsid w:val="00842EB8"/>
    <w:rsid w:val="0084389D"/>
    <w:rsid w:val="008444D7"/>
    <w:rsid w:val="00844E65"/>
    <w:rsid w:val="0085081B"/>
    <w:rsid w:val="00851683"/>
    <w:rsid w:val="00851690"/>
    <w:rsid w:val="00854333"/>
    <w:rsid w:val="0086350E"/>
    <w:rsid w:val="00864A42"/>
    <w:rsid w:val="00864EDD"/>
    <w:rsid w:val="00873B60"/>
    <w:rsid w:val="008767E5"/>
    <w:rsid w:val="00876A3F"/>
    <w:rsid w:val="00883DDA"/>
    <w:rsid w:val="00891D40"/>
    <w:rsid w:val="00892C18"/>
    <w:rsid w:val="00897700"/>
    <w:rsid w:val="008B37C8"/>
    <w:rsid w:val="008B4057"/>
    <w:rsid w:val="008B6BC3"/>
    <w:rsid w:val="008C5F38"/>
    <w:rsid w:val="008C6C48"/>
    <w:rsid w:val="008D361A"/>
    <w:rsid w:val="008D5B4F"/>
    <w:rsid w:val="008D6509"/>
    <w:rsid w:val="008F5616"/>
    <w:rsid w:val="00901FD7"/>
    <w:rsid w:val="00904A11"/>
    <w:rsid w:val="009052F5"/>
    <w:rsid w:val="009058E4"/>
    <w:rsid w:val="00906197"/>
    <w:rsid w:val="00922299"/>
    <w:rsid w:val="00926379"/>
    <w:rsid w:val="00932B38"/>
    <w:rsid w:val="009432EC"/>
    <w:rsid w:val="00945512"/>
    <w:rsid w:val="00954DC5"/>
    <w:rsid w:val="00960E3B"/>
    <w:rsid w:val="00963AD4"/>
    <w:rsid w:val="009656C9"/>
    <w:rsid w:val="00965778"/>
    <w:rsid w:val="0097288F"/>
    <w:rsid w:val="009905BF"/>
    <w:rsid w:val="0099367D"/>
    <w:rsid w:val="00993908"/>
    <w:rsid w:val="00996A30"/>
    <w:rsid w:val="009A17FC"/>
    <w:rsid w:val="009A1BCF"/>
    <w:rsid w:val="009A2284"/>
    <w:rsid w:val="009A373D"/>
    <w:rsid w:val="009B10D3"/>
    <w:rsid w:val="009B31AF"/>
    <w:rsid w:val="009B3C7B"/>
    <w:rsid w:val="009B3DB7"/>
    <w:rsid w:val="009B74DC"/>
    <w:rsid w:val="009C2621"/>
    <w:rsid w:val="009C6057"/>
    <w:rsid w:val="009D092B"/>
    <w:rsid w:val="009D19C8"/>
    <w:rsid w:val="009E137C"/>
    <w:rsid w:val="009F42EA"/>
    <w:rsid w:val="009F6597"/>
    <w:rsid w:val="00A010E3"/>
    <w:rsid w:val="00A01D67"/>
    <w:rsid w:val="00A042FE"/>
    <w:rsid w:val="00A0436B"/>
    <w:rsid w:val="00A078AD"/>
    <w:rsid w:val="00A1005A"/>
    <w:rsid w:val="00A1270D"/>
    <w:rsid w:val="00A133DE"/>
    <w:rsid w:val="00A1553C"/>
    <w:rsid w:val="00A15EE2"/>
    <w:rsid w:val="00A169FD"/>
    <w:rsid w:val="00A23361"/>
    <w:rsid w:val="00A26136"/>
    <w:rsid w:val="00A30FAD"/>
    <w:rsid w:val="00A346AD"/>
    <w:rsid w:val="00A34C5D"/>
    <w:rsid w:val="00A370C1"/>
    <w:rsid w:val="00A427AE"/>
    <w:rsid w:val="00A43224"/>
    <w:rsid w:val="00A434F2"/>
    <w:rsid w:val="00A47917"/>
    <w:rsid w:val="00A55481"/>
    <w:rsid w:val="00A555F8"/>
    <w:rsid w:val="00A60AC7"/>
    <w:rsid w:val="00A70AFD"/>
    <w:rsid w:val="00A7172B"/>
    <w:rsid w:val="00A7278D"/>
    <w:rsid w:val="00A83ED9"/>
    <w:rsid w:val="00A84589"/>
    <w:rsid w:val="00A870B2"/>
    <w:rsid w:val="00A90BE5"/>
    <w:rsid w:val="00A9190D"/>
    <w:rsid w:val="00A9246E"/>
    <w:rsid w:val="00A95CCB"/>
    <w:rsid w:val="00AA461D"/>
    <w:rsid w:val="00AA5668"/>
    <w:rsid w:val="00AA731A"/>
    <w:rsid w:val="00AC0E05"/>
    <w:rsid w:val="00AC6779"/>
    <w:rsid w:val="00AC712F"/>
    <w:rsid w:val="00AC77EB"/>
    <w:rsid w:val="00AD336F"/>
    <w:rsid w:val="00AD7157"/>
    <w:rsid w:val="00AD72E6"/>
    <w:rsid w:val="00AD74E1"/>
    <w:rsid w:val="00AF1B48"/>
    <w:rsid w:val="00AF5EC5"/>
    <w:rsid w:val="00AF7F32"/>
    <w:rsid w:val="00B0441C"/>
    <w:rsid w:val="00B0552D"/>
    <w:rsid w:val="00B215F9"/>
    <w:rsid w:val="00B2639F"/>
    <w:rsid w:val="00B30276"/>
    <w:rsid w:val="00B3342D"/>
    <w:rsid w:val="00B434D4"/>
    <w:rsid w:val="00B465E3"/>
    <w:rsid w:val="00B51D1F"/>
    <w:rsid w:val="00B54B8D"/>
    <w:rsid w:val="00B613E4"/>
    <w:rsid w:val="00B6402C"/>
    <w:rsid w:val="00B65BDA"/>
    <w:rsid w:val="00B72382"/>
    <w:rsid w:val="00B72553"/>
    <w:rsid w:val="00B7428C"/>
    <w:rsid w:val="00B8526D"/>
    <w:rsid w:val="00B85600"/>
    <w:rsid w:val="00B8690A"/>
    <w:rsid w:val="00B8715F"/>
    <w:rsid w:val="00B910D6"/>
    <w:rsid w:val="00B913FE"/>
    <w:rsid w:val="00B941AE"/>
    <w:rsid w:val="00B948F6"/>
    <w:rsid w:val="00B95378"/>
    <w:rsid w:val="00B95DF4"/>
    <w:rsid w:val="00B96630"/>
    <w:rsid w:val="00B970A0"/>
    <w:rsid w:val="00BA0E30"/>
    <w:rsid w:val="00BA1AD4"/>
    <w:rsid w:val="00BA70C6"/>
    <w:rsid w:val="00BB172A"/>
    <w:rsid w:val="00BB31D8"/>
    <w:rsid w:val="00BB5077"/>
    <w:rsid w:val="00BE0D96"/>
    <w:rsid w:val="00BE121D"/>
    <w:rsid w:val="00BE54BE"/>
    <w:rsid w:val="00BF091E"/>
    <w:rsid w:val="00BF5A20"/>
    <w:rsid w:val="00C0116F"/>
    <w:rsid w:val="00C1406A"/>
    <w:rsid w:val="00C15A1F"/>
    <w:rsid w:val="00C1681B"/>
    <w:rsid w:val="00C20914"/>
    <w:rsid w:val="00C215DD"/>
    <w:rsid w:val="00C26D25"/>
    <w:rsid w:val="00C362A8"/>
    <w:rsid w:val="00C4140E"/>
    <w:rsid w:val="00C42999"/>
    <w:rsid w:val="00C46605"/>
    <w:rsid w:val="00C51FE1"/>
    <w:rsid w:val="00C5421F"/>
    <w:rsid w:val="00C56E87"/>
    <w:rsid w:val="00C6552A"/>
    <w:rsid w:val="00C709CA"/>
    <w:rsid w:val="00C727DB"/>
    <w:rsid w:val="00C728BB"/>
    <w:rsid w:val="00C77451"/>
    <w:rsid w:val="00C82C25"/>
    <w:rsid w:val="00C84E6E"/>
    <w:rsid w:val="00C86BE7"/>
    <w:rsid w:val="00C870D7"/>
    <w:rsid w:val="00CB0EB3"/>
    <w:rsid w:val="00CB1DD0"/>
    <w:rsid w:val="00CB1FA2"/>
    <w:rsid w:val="00CB3A09"/>
    <w:rsid w:val="00CC1F9C"/>
    <w:rsid w:val="00CE2512"/>
    <w:rsid w:val="00CE28DC"/>
    <w:rsid w:val="00CF4892"/>
    <w:rsid w:val="00D03551"/>
    <w:rsid w:val="00D06843"/>
    <w:rsid w:val="00D070DA"/>
    <w:rsid w:val="00D07466"/>
    <w:rsid w:val="00D14A8D"/>
    <w:rsid w:val="00D151E2"/>
    <w:rsid w:val="00D162AE"/>
    <w:rsid w:val="00D17061"/>
    <w:rsid w:val="00D211C8"/>
    <w:rsid w:val="00D30EF7"/>
    <w:rsid w:val="00D36F8D"/>
    <w:rsid w:val="00D41AC4"/>
    <w:rsid w:val="00D46F02"/>
    <w:rsid w:val="00D52F41"/>
    <w:rsid w:val="00D5369F"/>
    <w:rsid w:val="00D53C79"/>
    <w:rsid w:val="00D66B9E"/>
    <w:rsid w:val="00D707C3"/>
    <w:rsid w:val="00D728FD"/>
    <w:rsid w:val="00D7386F"/>
    <w:rsid w:val="00D8453C"/>
    <w:rsid w:val="00D86D93"/>
    <w:rsid w:val="00D901CC"/>
    <w:rsid w:val="00D90391"/>
    <w:rsid w:val="00D927C0"/>
    <w:rsid w:val="00DA2498"/>
    <w:rsid w:val="00DA70F2"/>
    <w:rsid w:val="00DB6F38"/>
    <w:rsid w:val="00DC645B"/>
    <w:rsid w:val="00DD0E39"/>
    <w:rsid w:val="00DD2C2B"/>
    <w:rsid w:val="00DE5792"/>
    <w:rsid w:val="00DF3E7C"/>
    <w:rsid w:val="00DF5471"/>
    <w:rsid w:val="00E10760"/>
    <w:rsid w:val="00E207A9"/>
    <w:rsid w:val="00E2307A"/>
    <w:rsid w:val="00E2400C"/>
    <w:rsid w:val="00E3492F"/>
    <w:rsid w:val="00E34C94"/>
    <w:rsid w:val="00E34FE5"/>
    <w:rsid w:val="00E36594"/>
    <w:rsid w:val="00E44382"/>
    <w:rsid w:val="00E66508"/>
    <w:rsid w:val="00E74432"/>
    <w:rsid w:val="00E747BF"/>
    <w:rsid w:val="00E7589A"/>
    <w:rsid w:val="00E86EA9"/>
    <w:rsid w:val="00E909AE"/>
    <w:rsid w:val="00E94E79"/>
    <w:rsid w:val="00E97F8B"/>
    <w:rsid w:val="00EA2089"/>
    <w:rsid w:val="00EA3D03"/>
    <w:rsid w:val="00EA6157"/>
    <w:rsid w:val="00EA7F3B"/>
    <w:rsid w:val="00EB059D"/>
    <w:rsid w:val="00EB3EE9"/>
    <w:rsid w:val="00EB6D16"/>
    <w:rsid w:val="00EB7127"/>
    <w:rsid w:val="00EC08BF"/>
    <w:rsid w:val="00EC0F56"/>
    <w:rsid w:val="00EC282C"/>
    <w:rsid w:val="00EC655D"/>
    <w:rsid w:val="00ED1C1A"/>
    <w:rsid w:val="00ED49DD"/>
    <w:rsid w:val="00EF0028"/>
    <w:rsid w:val="00EF3552"/>
    <w:rsid w:val="00F03528"/>
    <w:rsid w:val="00F126DF"/>
    <w:rsid w:val="00F25C46"/>
    <w:rsid w:val="00F30B20"/>
    <w:rsid w:val="00F34D59"/>
    <w:rsid w:val="00F43F12"/>
    <w:rsid w:val="00F44C3B"/>
    <w:rsid w:val="00F5330A"/>
    <w:rsid w:val="00F57126"/>
    <w:rsid w:val="00F647DD"/>
    <w:rsid w:val="00F65A06"/>
    <w:rsid w:val="00F66DED"/>
    <w:rsid w:val="00F67140"/>
    <w:rsid w:val="00F81B2A"/>
    <w:rsid w:val="00F8256F"/>
    <w:rsid w:val="00F877C4"/>
    <w:rsid w:val="00F87907"/>
    <w:rsid w:val="00F9358B"/>
    <w:rsid w:val="00FA0095"/>
    <w:rsid w:val="00FA020E"/>
    <w:rsid w:val="00FA0214"/>
    <w:rsid w:val="00FA230C"/>
    <w:rsid w:val="00FB1E14"/>
    <w:rsid w:val="00FB2208"/>
    <w:rsid w:val="00FB2F87"/>
    <w:rsid w:val="00FB4678"/>
    <w:rsid w:val="00FB509D"/>
    <w:rsid w:val="00FB7FBE"/>
    <w:rsid w:val="00FC7923"/>
    <w:rsid w:val="00FD3D74"/>
    <w:rsid w:val="00FD4A8D"/>
    <w:rsid w:val="00FD607F"/>
    <w:rsid w:val="00FE368D"/>
    <w:rsid w:val="00FE7C5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5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5D71"/>
    <w:rPr>
      <w:color w:val="0000FF"/>
      <w:u w:val="single"/>
    </w:rPr>
  </w:style>
  <w:style w:type="paragraph" w:styleId="a7">
    <w:name w:val="No Spacing"/>
    <w:uiPriority w:val="1"/>
    <w:qFormat/>
    <w:rsid w:val="00332077"/>
    <w:pPr>
      <w:spacing w:after="0" w:line="240" w:lineRule="auto"/>
    </w:pPr>
  </w:style>
  <w:style w:type="table" w:styleId="a8">
    <w:name w:val="Table Grid"/>
    <w:basedOn w:val="a1"/>
    <w:uiPriority w:val="59"/>
    <w:rsid w:val="006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F3818"/>
  </w:style>
  <w:style w:type="paragraph" w:customStyle="1" w:styleId="rvps6">
    <w:name w:val="rvps6"/>
    <w:basedOn w:val="a"/>
    <w:rsid w:val="004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F3818"/>
  </w:style>
  <w:style w:type="paragraph" w:customStyle="1" w:styleId="1">
    <w:name w:val="1"/>
    <w:basedOn w:val="a"/>
    <w:rsid w:val="0042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a"/>
    <w:basedOn w:val="a0"/>
    <w:rsid w:val="004200E7"/>
  </w:style>
  <w:style w:type="character" w:customStyle="1" w:styleId="StyleZakonu">
    <w:name w:val="StyleZakonu Знак"/>
    <w:link w:val="StyleZakonu0"/>
    <w:locked/>
    <w:rsid w:val="0074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Zakonu0">
    <w:name w:val="StyleZakonu"/>
    <w:basedOn w:val="a"/>
    <w:link w:val="StyleZakonu"/>
    <w:rsid w:val="007469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5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5D71"/>
    <w:rPr>
      <w:color w:val="0000FF"/>
      <w:u w:val="single"/>
    </w:rPr>
  </w:style>
  <w:style w:type="paragraph" w:styleId="a7">
    <w:name w:val="No Spacing"/>
    <w:uiPriority w:val="1"/>
    <w:qFormat/>
    <w:rsid w:val="00332077"/>
    <w:pPr>
      <w:spacing w:after="0" w:line="240" w:lineRule="auto"/>
    </w:pPr>
  </w:style>
  <w:style w:type="table" w:styleId="a8">
    <w:name w:val="Table Grid"/>
    <w:basedOn w:val="a1"/>
    <w:uiPriority w:val="59"/>
    <w:rsid w:val="006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F3818"/>
  </w:style>
  <w:style w:type="paragraph" w:customStyle="1" w:styleId="rvps6">
    <w:name w:val="rvps6"/>
    <w:basedOn w:val="a"/>
    <w:rsid w:val="004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F3818"/>
  </w:style>
  <w:style w:type="paragraph" w:customStyle="1" w:styleId="1">
    <w:name w:val="1"/>
    <w:basedOn w:val="a"/>
    <w:rsid w:val="0042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a"/>
    <w:basedOn w:val="a0"/>
    <w:rsid w:val="004200E7"/>
  </w:style>
  <w:style w:type="character" w:customStyle="1" w:styleId="StyleZakonu">
    <w:name w:val="StyleZakonu Знак"/>
    <w:link w:val="StyleZakonu0"/>
    <w:locked/>
    <w:rsid w:val="0074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Zakonu0">
    <w:name w:val="StyleZakonu"/>
    <w:basedOn w:val="a"/>
    <w:link w:val="StyleZakonu"/>
    <w:rsid w:val="007469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302464"/>
        <c:axId val="122304000"/>
      </c:barChart>
      <c:catAx>
        <c:axId val="122302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2304000"/>
        <c:crosses val="autoZero"/>
        <c:auto val="1"/>
        <c:lblAlgn val="ctr"/>
        <c:lblOffset val="100"/>
        <c:noMultiLvlLbl val="0"/>
      </c:catAx>
      <c:valAx>
        <c:axId val="1223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02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Надходження справ за категоріями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588189490077239E-2"/>
          <c:y val="0.13308361192685775"/>
          <c:w val="0.69115693330807915"/>
          <c:h val="0.65555654618409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Податкові спори</c:v>
                </c:pt>
                <c:pt idx="1">
                  <c:v>Соціальне та пенсійне страхування</c:v>
                </c:pt>
                <c:pt idx="2">
                  <c:v>Правовий статус фіз.осіб та охорона праці</c:v>
                </c:pt>
                <c:pt idx="3">
                  <c:v>Публічна служба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0.15</c:v>
                </c:pt>
                <c:pt idx="2">
                  <c:v>0.08</c:v>
                </c:pt>
                <c:pt idx="3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Податкові спори</c:v>
                </c:pt>
                <c:pt idx="1">
                  <c:v>Соціальне та пенсійне страхування</c:v>
                </c:pt>
                <c:pt idx="2">
                  <c:v>Правовий статус фіз.осіб та охорона праці</c:v>
                </c:pt>
                <c:pt idx="3">
                  <c:v>Публічна служба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0.39</c:v>
                </c:pt>
                <c:pt idx="2">
                  <c:v>0.11</c:v>
                </c:pt>
                <c:pt idx="3">
                  <c:v>7.0000000000000007E-2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022784"/>
        <c:axId val="124024320"/>
      </c:barChart>
      <c:catAx>
        <c:axId val="1240227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4024320"/>
        <c:crosses val="autoZero"/>
        <c:auto val="1"/>
        <c:lblAlgn val="ctr"/>
        <c:lblOffset val="100"/>
        <c:noMultiLvlLbl val="0"/>
      </c:catAx>
      <c:valAx>
        <c:axId val="1240243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402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39952017172802"/>
          <c:y val="0.48637735284251243"/>
          <c:w val="0.1627494665785697"/>
          <c:h val="0.1211806817188485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03515794655616"/>
          <c:y val="5.7141385455906545E-2"/>
          <c:w val="0.71656899548940001"/>
          <c:h val="0.74766634178380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36613135941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4186893463484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Сплачено судового збору</c:v>
                </c:pt>
                <c:pt idx="1">
                  <c:v>Звільнено від сплати судового збору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">
                  <c:v>2076369</c:v>
                </c:pt>
                <c:pt idx="1">
                  <c:v>94265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134245850369469E-17"/>
                  <c:y val="6.88729925978103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268491700738938E-17"/>
                  <c:y val="6.88729925978096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Сплачено судового збору</c:v>
                </c:pt>
                <c:pt idx="1">
                  <c:v>Звільнено від сплати судового збору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1794346</c:v>
                </c:pt>
                <c:pt idx="1">
                  <c:v>712991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232320"/>
        <c:axId val="136254592"/>
      </c:barChart>
      <c:catAx>
        <c:axId val="13623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6254592"/>
        <c:crosses val="autoZero"/>
        <c:auto val="1"/>
        <c:lblAlgn val="ctr"/>
        <c:lblOffset val="100"/>
        <c:noMultiLvlLbl val="0"/>
      </c:catAx>
      <c:valAx>
        <c:axId val="136254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232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Видано виконавчих листів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Видано виконавчих листів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44736"/>
        <c:axId val="144667008"/>
      </c:barChart>
      <c:catAx>
        <c:axId val="144644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4667008"/>
        <c:crosses val="autoZero"/>
        <c:auto val="1"/>
        <c:lblAlgn val="ctr"/>
        <c:lblOffset val="100"/>
        <c:noMultiLvlLbl val="0"/>
      </c:catAx>
      <c:valAx>
        <c:axId val="1446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44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42819331065501"/>
          <c:y val="4.8463388663302465E-2"/>
          <c:w val="0.50354068241469818"/>
          <c:h val="0.77156469908099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666666666666666E-2"/>
                  <c:y val="2.03410570798683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Виконавчих листів видано на суму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5584896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Виконавчих листів видано на суму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40644964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80064"/>
        <c:axId val="144681600"/>
      </c:barChart>
      <c:catAx>
        <c:axId val="14468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4681600"/>
        <c:crosses val="autoZero"/>
        <c:auto val="1"/>
        <c:lblAlgn val="ctr"/>
        <c:lblOffset val="100"/>
        <c:noMultiLvlLbl val="0"/>
      </c:catAx>
      <c:valAx>
        <c:axId val="14468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80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20000"/>
        <c:axId val="122321536"/>
      </c:barChart>
      <c:catAx>
        <c:axId val="12232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2321536"/>
        <c:crosses val="autoZero"/>
        <c:auto val="1"/>
        <c:lblAlgn val="ctr"/>
        <c:lblOffset val="100"/>
        <c:noMultiLvlLbl val="0"/>
      </c:catAx>
      <c:valAx>
        <c:axId val="12232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2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43627879848363"/>
          <c:y val="0.1398217287445811"/>
          <c:w val="0.24356368894153718"/>
          <c:h val="0.69454127222861173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Cередньомісячне надходження справ до судді</c:v>
                </c:pt>
                <c:pt idx="1">
                  <c:v>Середньомісячна кількість розглянутих справ суддею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Cередньомісячне надходження справ до судді</c:v>
                </c:pt>
                <c:pt idx="1">
                  <c:v>Середньомісячна кількість розглянутих справ суддею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Cередньомісячне надходження справ до судді</c:v>
                </c:pt>
                <c:pt idx="1">
                  <c:v>Середньомісячна кількість розглянутих справ суддею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</c:v>
                </c:pt>
                <c:pt idx="1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Cередньомісячне надходження справ до судді</c:v>
                </c:pt>
                <c:pt idx="1">
                  <c:v>Середньомісячна кількість розглянутих справ суддею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760384"/>
        <c:axId val="122335616"/>
      </c:barChart>
      <c:catAx>
        <c:axId val="121760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2335616"/>
        <c:crosses val="autoZero"/>
        <c:auto val="1"/>
        <c:lblAlgn val="ctr"/>
        <c:lblOffset val="100"/>
        <c:noMultiLvlLbl val="0"/>
      </c:catAx>
      <c:valAx>
        <c:axId val="1223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760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Перебувало в провадженні справ та матеріалів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230106235389986"/>
          <c:y val="0.11053430821147357"/>
          <c:w val="0.50485178846543866"/>
          <c:h val="0.864232843066343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Перебувало в провадженні справ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2017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1396</c:v>
                </c:pt>
                <c:pt idx="1">
                  <c:v>1625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175961247857139"/>
          <c:y val="0.36639045119360075"/>
          <c:w val="0.22823599100264957"/>
          <c:h val="0.40055149356330461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Показник розгляду адміністративних справ та матеріалів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Кількість розглянутих справ та матеріалів в цілому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Кількість розглянутих справ та матеріалів в цілому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87296"/>
        <c:axId val="123688832"/>
      </c:barChart>
      <c:catAx>
        <c:axId val="123687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3688832"/>
        <c:crosses val="autoZero"/>
        <c:auto val="1"/>
        <c:lblAlgn val="ctr"/>
        <c:lblOffset val="100"/>
        <c:noMultiLvlLbl val="0"/>
      </c:catAx>
      <c:valAx>
        <c:axId val="12368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87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Розглянуто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справ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698618710796741"/>
          <c:y val="2.0325203252032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502386216970658E-2"/>
          <c:y val="0.1382199176322472"/>
          <c:w val="0.62758278006513124"/>
          <c:h val="0.58142450970130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Прийнято постанов</c:v>
                </c:pt>
                <c:pt idx="1">
                  <c:v>Закрито провадження у справах</c:v>
                </c:pt>
                <c:pt idx="2">
                  <c:v>Залишено позовних заяв без розгляду</c:v>
                </c:pt>
                <c:pt idx="3">
                  <c:v>Передано справ за підсудністю до іншого суду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553</c:v>
                </c:pt>
                <c:pt idx="1">
                  <c:v>46</c:v>
                </c:pt>
                <c:pt idx="2">
                  <c:v>76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420679605454227E-17"/>
                  <c:y val="1.355932203389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01694915254237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Прийнято постанов</c:v>
                </c:pt>
                <c:pt idx="1">
                  <c:v>Закрито провадження у справах</c:v>
                </c:pt>
                <c:pt idx="2">
                  <c:v>Залишено позовних заяв без розгляду</c:v>
                </c:pt>
                <c:pt idx="3">
                  <c:v>Передано справ за підсудністю до іншого суду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725</c:v>
                </c:pt>
                <c:pt idx="1">
                  <c:v>49</c:v>
                </c:pt>
                <c:pt idx="2">
                  <c:v>118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19040"/>
        <c:axId val="123765888"/>
      </c:barChart>
      <c:catAx>
        <c:axId val="123719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3765888"/>
        <c:crosses val="autoZero"/>
        <c:auto val="1"/>
        <c:lblAlgn val="ctr"/>
        <c:lblOffset val="100"/>
        <c:noMultiLvlLbl val="0"/>
      </c:catAx>
      <c:valAx>
        <c:axId val="12376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7190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77992659589724089"/>
          <c:y val="0.42780605168256403"/>
          <c:w val="0.2072897630871198"/>
          <c:h val="0.18711536820092611"/>
        </c:manualLayout>
      </c:layout>
      <c:overlay val="0"/>
      <c:txPr>
        <a:bodyPr/>
        <a:lstStyle/>
        <a:p>
          <a:pPr>
            <a:defRPr sz="14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Розглянуто матеріалів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6.006302283404269E-2"/>
          <c:y val="8.9766300557147544E-2"/>
          <c:w val="0.92283419862070615"/>
          <c:h val="0.58928114241856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Задоволено клопотань та заяв</c:v>
                </c:pt>
                <c:pt idx="1">
                  <c:v>Відмовлено у відкритті провадження у справах</c:v>
                </c:pt>
                <c:pt idx="2">
                  <c:v>Відмовлено у задоволенні заяв та клопотань</c:v>
                </c:pt>
                <c:pt idx="3">
                  <c:v>Залишено без розгляду позовних заяв</c:v>
                </c:pt>
                <c:pt idx="4">
                  <c:v>Залишено без розгляду заяв та клопотань</c:v>
                </c:pt>
                <c:pt idx="5">
                  <c:v>Повернуто позовних заяв</c:v>
                </c:pt>
                <c:pt idx="6">
                  <c:v>Повернуто заяв та клопотань</c:v>
                </c:pt>
                <c:pt idx="7">
                  <c:v>Розгялнуто заяв за новови явленими обставинами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62</c:v>
                </c:pt>
                <c:pt idx="1">
                  <c:v>18</c:v>
                </c:pt>
                <c:pt idx="2">
                  <c:v>49</c:v>
                </c:pt>
                <c:pt idx="3">
                  <c:v>77</c:v>
                </c:pt>
                <c:pt idx="4">
                  <c:v>3</c:v>
                </c:pt>
                <c:pt idx="5">
                  <c:v>140</c:v>
                </c:pt>
                <c:pt idx="6">
                  <c:v>11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Задоволено клопотань та заяв</c:v>
                </c:pt>
                <c:pt idx="1">
                  <c:v>Відмовлено у відкритті провадження у справах</c:v>
                </c:pt>
                <c:pt idx="2">
                  <c:v>Відмовлено у задоволенні заяв та клопотань</c:v>
                </c:pt>
                <c:pt idx="3">
                  <c:v>Залишено без розгляду позовних заяв</c:v>
                </c:pt>
                <c:pt idx="4">
                  <c:v>Залишено без розгляду заяв та клопотань</c:v>
                </c:pt>
                <c:pt idx="5">
                  <c:v>Повернуто позовних заяв</c:v>
                </c:pt>
                <c:pt idx="6">
                  <c:v>Повернуто заяв та клопотань</c:v>
                </c:pt>
                <c:pt idx="7">
                  <c:v>Розгялнуто заяв за новови явленими обставинами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143</c:v>
                </c:pt>
                <c:pt idx="1">
                  <c:v>16</c:v>
                </c:pt>
                <c:pt idx="2">
                  <c:v>74</c:v>
                </c:pt>
                <c:pt idx="3">
                  <c:v>5</c:v>
                </c:pt>
                <c:pt idx="4">
                  <c:v>3</c:v>
                </c:pt>
                <c:pt idx="5">
                  <c:v>163</c:v>
                </c:pt>
                <c:pt idx="6">
                  <c:v>21</c:v>
                </c:pt>
                <c:pt idx="7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805056"/>
        <c:axId val="123819136"/>
      </c:barChart>
      <c:catAx>
        <c:axId val="12380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819136"/>
        <c:crosses val="autoZero"/>
        <c:auto val="1"/>
        <c:lblAlgn val="ctr"/>
        <c:lblOffset val="100"/>
        <c:noMultiLvlLbl val="0"/>
      </c:catAx>
      <c:valAx>
        <c:axId val="12381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805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</c:spPr>
      </c:dTable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Стягнуто коштів за рішеннями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суду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608275679191508"/>
          <c:y val="1.54655119084441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371135024850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711854576253984E-2"/>
                  <c:y val="5.8775643311406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674101580736255E-3"/>
                  <c:y val="1.2371135024850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Заявлено вимогу про стягнення коштів на суму </c:v>
                </c:pt>
                <c:pt idx="1">
                  <c:v>Присуджено до стягнення коштів на суму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88411449</c:v>
                </c:pt>
                <c:pt idx="1">
                  <c:v>32089300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782734387157501E-3"/>
                  <c:y val="1.85567025372759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514885048665503E-3"/>
                  <c:y val="3.09027357171425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600794810870494E-17"/>
                  <c:y val="6.1855675124252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Заявлено вимогу про стягнення коштів на суму </c:v>
                </c:pt>
                <c:pt idx="1">
                  <c:v>Присуджено до стягнення коштів на суму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38183761</c:v>
                </c:pt>
                <c:pt idx="1">
                  <c:v>33278607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93248"/>
        <c:axId val="123894784"/>
      </c:barChart>
      <c:catAx>
        <c:axId val="1238932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3894784"/>
        <c:crosses val="autoZero"/>
        <c:auto val="1"/>
        <c:lblAlgn val="ctr"/>
        <c:lblOffset val="100"/>
        <c:noMultiLvlLbl val="0"/>
      </c:catAx>
      <c:valAx>
        <c:axId val="12389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893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Залишок не розглянутих справ та матеріалів на кінець року</a:t>
            </a:r>
          </a:p>
        </c:rich>
      </c:tx>
      <c:layout>
        <c:manualLayout>
          <c:xMode val="edge"/>
          <c:yMode val="edge"/>
          <c:x val="0.10289148606626648"/>
          <c:y val="3.7690512047046129E-3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30106235389986"/>
          <c:y val="0.11053430821147357"/>
          <c:w val="0.50485178846543866"/>
          <c:h val="0.864232843066343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Залишок не розглянутих справ та матеріалів на кінець року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/>
              </a:solidFill>
            </c:spPr>
          </c:dPt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2017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340</c:v>
                </c:pt>
                <c:pt idx="1">
                  <c:v>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3933056"/>
        <c:axId val="123934592"/>
        <c:axId val="0"/>
      </c:bar3DChart>
      <c:catAx>
        <c:axId val="123933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23934592"/>
        <c:crosses val="autoZero"/>
        <c:auto val="1"/>
        <c:lblAlgn val="ctr"/>
        <c:lblOffset val="100"/>
        <c:noMultiLvlLbl val="0"/>
      </c:catAx>
      <c:valAx>
        <c:axId val="12393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3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4732833674845"/>
          <c:y val="0.38209639768728387"/>
          <c:w val="0.25918320874147394"/>
          <c:h val="0.3835460327660164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0.81341</cdr:x>
      <cdr:y>0.03568</cdr:y>
    </cdr:from>
    <cdr:to>
      <cdr:x>0.84481</cdr:x>
      <cdr:y>0.14247</cdr:y>
    </cdr:to>
    <cdr:grpSp>
      <cdr:nvGrpSpPr>
        <cdr:cNvPr id="4" name="Группа 3"/>
        <cdr:cNvGrpSpPr/>
      </cdr:nvGrpSpPr>
      <cdr:grpSpPr>
        <a:xfrm xmlns:a="http://schemas.openxmlformats.org/drawingml/2006/main">
          <a:off x="5458505" y="127386"/>
          <a:ext cx="210775" cy="381221"/>
          <a:chOff x="5184251" y="95415"/>
          <a:chExt cx="111318" cy="242841"/>
        </a:xfrm>
      </cdr:grpSpPr>
      <cdr:sp macro="" textlink="">
        <cdr:nvSpPr>
          <cdr:cNvPr id="2" name="Прямоугольник 1"/>
          <cdr:cNvSpPr/>
        </cdr:nvSpPr>
        <cdr:spPr>
          <a:xfrm xmlns:a="http://schemas.openxmlformats.org/drawingml/2006/main">
            <a:off x="5184251" y="95415"/>
            <a:ext cx="103367" cy="95416"/>
          </a:xfrm>
          <a:prstGeom xmlns:a="http://schemas.openxmlformats.org/drawingml/2006/main" prst="rect">
            <a:avLst/>
          </a:prstGeom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ru-RU"/>
          </a:p>
        </cdr:txBody>
      </cdr:sp>
      <cdr:sp macro="" textlink="">
        <cdr:nvSpPr>
          <cdr:cNvPr id="3" name="Прямоугольник 2"/>
          <cdr:cNvSpPr/>
        </cdr:nvSpPr>
        <cdr:spPr>
          <a:xfrm xmlns:a="http://schemas.openxmlformats.org/drawingml/2006/main">
            <a:off x="5192202" y="242840"/>
            <a:ext cx="103367" cy="95416"/>
          </a:xfrm>
          <a:prstGeom xmlns:a="http://schemas.openxmlformats.org/drawingml/2006/main" prst="rect">
            <a:avLst/>
          </a:prstGeom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ru-RU"/>
          </a:p>
        </cdr:txBody>
      </cdr:sp>
    </cdr:grpSp>
  </cdr:relSizeAnchor>
  <cdr:relSizeAnchor xmlns:cdr="http://schemas.openxmlformats.org/drawingml/2006/chartDrawing">
    <cdr:from>
      <cdr:x>0.01774</cdr:x>
      <cdr:y>0.89982</cdr:y>
    </cdr:from>
    <cdr:to>
      <cdr:x>1</cdr:x>
      <cdr:y>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19049" y="3212327"/>
          <a:ext cx="6591631" cy="35764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D55E-6839-4D52-A296-24610056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8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Скрипничук</dc:creator>
  <cp:keywords/>
  <dc:description/>
  <cp:lastModifiedBy>Скрипничук</cp:lastModifiedBy>
  <cp:revision>53</cp:revision>
  <cp:lastPrinted>2018-02-09T13:02:00Z</cp:lastPrinted>
  <dcterms:created xsi:type="dcterms:W3CDTF">2017-08-28T10:53:00Z</dcterms:created>
  <dcterms:modified xsi:type="dcterms:W3CDTF">2018-02-14T09:21:00Z</dcterms:modified>
</cp:coreProperties>
</file>