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94" w:rsidRDefault="00BE7094" w:rsidP="00BE7094">
      <w:pPr>
        <w:autoSpaceDE w:val="0"/>
        <w:autoSpaceDN w:val="0"/>
        <w:adjustRightInd w:val="0"/>
        <w:spacing w:after="165" w:line="360" w:lineRule="auto"/>
        <w:ind w:left="5670"/>
        <w:jc w:val="both"/>
        <w:rPr>
          <w:rFonts w:ascii="Times New Roman" w:hAnsi="Times New Roman" w:cs="Times New Roman"/>
          <w:b/>
          <w:bCs/>
          <w:sz w:val="24"/>
          <w:szCs w:val="24"/>
        </w:rPr>
      </w:pPr>
      <w:r>
        <w:rPr>
          <w:rFonts w:ascii="Times New Roman" w:hAnsi="Times New Roman" w:cs="Times New Roman"/>
          <w:b/>
          <w:bCs/>
          <w:sz w:val="24"/>
          <w:szCs w:val="24"/>
        </w:rPr>
        <w:t>ЗАТВЕРДЖЕНО</w:t>
      </w:r>
    </w:p>
    <w:p w:rsidR="00BE7094" w:rsidRDefault="00BE7094" w:rsidP="00BE7094">
      <w:pPr>
        <w:autoSpaceDE w:val="0"/>
        <w:autoSpaceDN w:val="0"/>
        <w:adjustRightInd w:val="0"/>
        <w:spacing w:after="0" w:line="240" w:lineRule="auto"/>
        <w:ind w:firstLine="567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ішенням зборів суддів </w:t>
      </w:r>
    </w:p>
    <w:p w:rsidR="00BE7094" w:rsidRDefault="00BE7094" w:rsidP="00BE7094">
      <w:pPr>
        <w:autoSpaceDE w:val="0"/>
        <w:autoSpaceDN w:val="0"/>
        <w:adjustRightInd w:val="0"/>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 xml:space="preserve">Роздільнянського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суду </w:t>
      </w:r>
    </w:p>
    <w:p w:rsidR="00BE7094" w:rsidRDefault="00BE7094" w:rsidP="00BE7094">
      <w:pPr>
        <w:autoSpaceDE w:val="0"/>
        <w:autoSpaceDN w:val="0"/>
        <w:adjustRightInd w:val="0"/>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Одеської області</w:t>
      </w:r>
    </w:p>
    <w:p w:rsidR="00BE7094" w:rsidRDefault="00BE7094" w:rsidP="00BE7094">
      <w:pPr>
        <w:autoSpaceDE w:val="0"/>
        <w:autoSpaceDN w:val="0"/>
        <w:adjustRightInd w:val="0"/>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 13 від 10.11.2016 року</w:t>
      </w:r>
    </w:p>
    <w:p w:rsidR="00BE7094" w:rsidRDefault="00BE7094" w:rsidP="00BE7094">
      <w:pPr>
        <w:autoSpaceDE w:val="0"/>
        <w:autoSpaceDN w:val="0"/>
        <w:adjustRightInd w:val="0"/>
        <w:spacing w:after="0" w:line="240" w:lineRule="auto"/>
        <w:ind w:firstLine="5670"/>
        <w:rPr>
          <w:rFonts w:ascii="Times New Roman" w:hAnsi="Times New Roman" w:cs="Times New Roman"/>
          <w:sz w:val="24"/>
          <w:szCs w:val="24"/>
        </w:rPr>
      </w:pPr>
    </w:p>
    <w:p w:rsidR="00BE7094" w:rsidRDefault="00BE7094" w:rsidP="00BE7094">
      <w:pPr>
        <w:autoSpaceDE w:val="0"/>
        <w:autoSpaceDN w:val="0"/>
        <w:adjustRightInd w:val="0"/>
        <w:spacing w:after="0" w:line="240" w:lineRule="auto"/>
        <w:ind w:firstLine="5670"/>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Засади </w:t>
      </w:r>
    </w:p>
    <w:p w:rsidR="00BE7094" w:rsidRDefault="00BE7094" w:rsidP="00BE7094">
      <w:pPr>
        <w:autoSpaceDE w:val="0"/>
        <w:autoSpaceDN w:val="0"/>
        <w:adjustRightInd w:val="0"/>
        <w:spacing w:after="165" w:line="360" w:lineRule="auto"/>
        <w:jc w:val="center"/>
        <w:rPr>
          <w:rFonts w:ascii="Times New Roman" w:hAnsi="Times New Roman" w:cs="Times New Roman"/>
          <w:b/>
          <w:bCs/>
          <w:sz w:val="28"/>
          <w:szCs w:val="28"/>
        </w:rPr>
      </w:pPr>
      <w:r>
        <w:rPr>
          <w:rFonts w:ascii="Times New Roman" w:hAnsi="Times New Roman" w:cs="Times New Roman"/>
          <w:b/>
          <w:bCs/>
          <w:sz w:val="28"/>
          <w:szCs w:val="28"/>
        </w:rPr>
        <w:t>використання автоматизованої системи документообігу суду</w:t>
      </w:r>
    </w:p>
    <w:p w:rsidR="00BE7094" w:rsidRDefault="00BE7094" w:rsidP="00BE7094">
      <w:pPr>
        <w:autoSpaceDE w:val="0"/>
        <w:autoSpaceDN w:val="0"/>
        <w:adjustRightInd w:val="0"/>
        <w:spacing w:after="165"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 Роздільнянському </w:t>
      </w:r>
      <w:proofErr w:type="gramStart"/>
      <w:r>
        <w:rPr>
          <w:rFonts w:ascii="Times New Roman" w:hAnsi="Times New Roman" w:cs="Times New Roman"/>
          <w:b/>
          <w:bCs/>
          <w:sz w:val="28"/>
          <w:szCs w:val="28"/>
        </w:rPr>
        <w:t>районному</w:t>
      </w:r>
      <w:proofErr w:type="gramEnd"/>
      <w:r>
        <w:rPr>
          <w:rFonts w:ascii="Times New Roman" w:hAnsi="Times New Roman" w:cs="Times New Roman"/>
          <w:b/>
          <w:bCs/>
          <w:sz w:val="28"/>
          <w:szCs w:val="28"/>
        </w:rPr>
        <w:t xml:space="preserve"> суді Одеської області</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1. Загальні положення</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Засади використання автоматизованої системи документообігу суду в Роздільнянському районному суді Одеської області (далі — Засади) за допомогою автоматизованої системи документообігу суду (далі — АСДС) визначають порядок функціонування автоматизованої системи в Роздільнянському районному суді Одеської області, урегулювання яких відповідно до Закону України “Про судоустрій і статус суддів” і Положення про автоматизовану систему документообігу суду</w:t>
      </w:r>
      <w:proofErr w:type="gramEnd"/>
      <w:r>
        <w:rPr>
          <w:rFonts w:ascii="Times New Roman" w:hAnsi="Times New Roman" w:cs="Times New Roman"/>
          <w:sz w:val="24"/>
          <w:szCs w:val="24"/>
        </w:rPr>
        <w:t xml:space="preserve"> (далі – Положення), затвердженим рішенням</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ади суддів України № 2 від 02.04.2015 року, відноситься до повноважень зборів суддів Роздільнянського районного суду Одеської області.</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Реєстрація справ і </w:t>
      </w:r>
      <w:proofErr w:type="gramStart"/>
      <w:r>
        <w:rPr>
          <w:rFonts w:ascii="Times New Roman" w:hAnsi="Times New Roman" w:cs="Times New Roman"/>
          <w:b/>
          <w:bCs/>
          <w:sz w:val="24"/>
          <w:szCs w:val="24"/>
        </w:rPr>
        <w:t>матер</w:t>
      </w:r>
      <w:proofErr w:type="gramEnd"/>
      <w:r>
        <w:rPr>
          <w:rFonts w:ascii="Times New Roman" w:hAnsi="Times New Roman" w:cs="Times New Roman"/>
          <w:b/>
          <w:bCs/>
          <w:sz w:val="24"/>
          <w:szCs w:val="24"/>
        </w:rPr>
        <w:t>іалів</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2.1. Усі справи та матеріали,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ідлягають розподілу між суддями, реєструються в день надходження за допомогою АСДС.</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Розподіл справ і </w:t>
      </w:r>
      <w:proofErr w:type="gramStart"/>
      <w:r>
        <w:rPr>
          <w:rFonts w:ascii="Times New Roman" w:hAnsi="Times New Roman" w:cs="Times New Roman"/>
          <w:b/>
          <w:bCs/>
          <w:sz w:val="24"/>
          <w:szCs w:val="24"/>
        </w:rPr>
        <w:t>матер</w:t>
      </w:r>
      <w:proofErr w:type="gramEnd"/>
      <w:r>
        <w:rPr>
          <w:rFonts w:ascii="Times New Roman" w:hAnsi="Times New Roman" w:cs="Times New Roman"/>
          <w:b/>
          <w:bCs/>
          <w:sz w:val="24"/>
          <w:szCs w:val="24"/>
        </w:rPr>
        <w:t>іалів</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 Усі зареєстровані справи та матеріали, які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ідлягають розгляду суддями, щоденно розподіляються, у разі їх наявності, за допомогою АСДС згідно Розділу 2.3. «Розподіл судових справ </w:t>
      </w:r>
      <w:proofErr w:type="gramStart"/>
      <w:r>
        <w:rPr>
          <w:rFonts w:ascii="Times New Roman" w:hAnsi="Times New Roman" w:cs="Times New Roman"/>
          <w:sz w:val="24"/>
          <w:szCs w:val="24"/>
        </w:rPr>
        <w:t>між</w:t>
      </w:r>
      <w:proofErr w:type="gramEnd"/>
      <w:r>
        <w:rPr>
          <w:rFonts w:ascii="Times New Roman" w:hAnsi="Times New Roman" w:cs="Times New Roman"/>
          <w:sz w:val="24"/>
          <w:szCs w:val="24"/>
        </w:rPr>
        <w:t xml:space="preserve"> суддями» Положення про автоматизовану систему документообігу суду (далі Положення).</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3.2. Справи і матеріали, які мають скорочені терміни розгляду, у разі їх наявності, розподіляються одразу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ісля їх реєстрації згідно підрозділу «Автоматизований розподіл судових справ між суддями» Розділу 2.3. «Розподіл судових справ </w:t>
      </w:r>
      <w:proofErr w:type="gramStart"/>
      <w:r>
        <w:rPr>
          <w:rFonts w:ascii="Times New Roman" w:hAnsi="Times New Roman" w:cs="Times New Roman"/>
          <w:sz w:val="24"/>
          <w:szCs w:val="24"/>
        </w:rPr>
        <w:t>між</w:t>
      </w:r>
      <w:proofErr w:type="gramEnd"/>
      <w:r>
        <w:rPr>
          <w:rFonts w:ascii="Times New Roman" w:hAnsi="Times New Roman" w:cs="Times New Roman"/>
          <w:sz w:val="24"/>
          <w:szCs w:val="24"/>
        </w:rPr>
        <w:t xml:space="preserve"> суддями»  Положення.</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3.3. Кожний робочий день о 09.30 посадова особа суду, відповідальна за ведення кадрової роботи або особа, яка виконує його обов'язки, перед початком розподілу будь-яких справ і матеріалів, надає керівнику апарату суду інформацію про відсутніх на робочому місці </w:t>
      </w:r>
      <w:r>
        <w:rPr>
          <w:rFonts w:ascii="Times New Roman" w:hAnsi="Times New Roman" w:cs="Times New Roman"/>
          <w:sz w:val="24"/>
          <w:szCs w:val="24"/>
        </w:rPr>
        <w:lastRenderedPageBreak/>
        <w:t xml:space="preserve">суддів (довідка, доповідна, витяг з табелю) з вказівкою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 відсутності (відпустка, відрядження, лікарняний тощо).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У разі невиходу судді на роботу з поважних причин, які будуть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ідтверджені документально, суддя зобов’язаний  до 09:30 дня невиходу на роботу повідомити про це особу суду, відповідальну за ведення кадрової роботи або особу, яка виконує його обов’язки.</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Невиконання суддею правил, визначених абзацом 2 п. 3.3. Засад позбавляє його права посилатись на те, що справи і матеріали розподілені йому помилково та не є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ідставою для їх повторного розподілу.</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3.4. За вимогою голови суду, особа, відповідальна за автоматичний розподіл справ надає голові суду довідку про перелік справ, які надійшли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суду та розподілені.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3.5. Розподіл усіх справ і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 xml:space="preserve">іалів здійснюється виключно особою, відповідальною за автоматичний розподіл справ.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3.6. Будь-який суддя (судді) мають право бути присутніми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розподілу справ і матеріалів.</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3.7. Результат розподілу справ між суддями оформлюється в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розподілу справ і матеріалів, який формується автоматично за допомогою АСДС.</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xml:space="preserve"> розподілу справ і матеріалів роздруковується не рідше одного разу на день, скріплюється підписом керівника апарату суду або особою, відповідальною  за автоматичний розподіл справ.</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3.8. Повторний розподіл справ і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у разі заміни головуючого судді здійснюється з урахуванням вимог пунктів 3.1. – 3.7. Засад.</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У разі неможливості виконання суддею, який входить до складу колегії суддів, обов’язків судді (тимчасова непрацездатність, відрядження, відпустка, участь у семінарах, зайнятість судді у розгляді інших справ, закінчення повноважень, відсторонення від посади тощо), який не є головуючим суддею у судовій справі, заміна відсутнього судді, який входить до складу</w:t>
      </w:r>
      <w:proofErr w:type="gramEnd"/>
      <w:r>
        <w:rPr>
          <w:rFonts w:ascii="Times New Roman" w:hAnsi="Times New Roman" w:cs="Times New Roman"/>
          <w:sz w:val="24"/>
          <w:szCs w:val="24"/>
        </w:rPr>
        <w:t xml:space="preserve"> колегії суддів, здійснюється за допомогою автоматизованої системи документообігу суду в автоматичному режимі, з урахуванням засад формування складу колегій судді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Результат заміни відсутнього судді, який входить до складу колегії суддів, оформлюється у Протокол повторного автоматизованого розподілу судової справи між суддями, затвердженого Положенням,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ідшивається до матеріалів справи.</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3.10. На виконання пункту 2.3.17. Положення, з метою недопущення порушення строків розгляду справи, можуть бути повторно розподілені за резолюцією голови суду, з урахуванням пунктів 3.1. – 3.7. Засад, судові справи, що залишилися нерозглянутими суддею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разі: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припинення його повноважень щодо здійснення ним правосуддя,</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звільнення його з посади судді,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перебування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відпустці по догляду за дитиною до досягнення нею трирічного віку,</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тимчасової непрацездатності головуючого судді, якщо її тривалість становить більше ніж 21 календарний день,</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тимчасової непрацездатності головуючого судді,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день відкриття лікарняного, якщо нерозглянутими залишились справи і матеріали, зазначені у п. 3.2. Засад,</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відсторонення судді  від посади.</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 Не розподіляються щодо </w:t>
      </w:r>
      <w:proofErr w:type="gramStart"/>
      <w:r>
        <w:rPr>
          <w:rFonts w:ascii="Times New Roman" w:hAnsi="Times New Roman" w:cs="Times New Roman"/>
          <w:sz w:val="24"/>
          <w:szCs w:val="24"/>
        </w:rPr>
        <w:t>конкретного</w:t>
      </w:r>
      <w:proofErr w:type="gramEnd"/>
      <w:r>
        <w:rPr>
          <w:rFonts w:ascii="Times New Roman" w:hAnsi="Times New Roman" w:cs="Times New Roman"/>
          <w:sz w:val="24"/>
          <w:szCs w:val="24"/>
        </w:rPr>
        <w:t xml:space="preserve"> судді судові справи, що надійшли:</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за два місяці до закінчення повноважень судді;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за сім днів, якщо інше не встановлено зборами суддів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ідповідного суду, до початку відпустки ( якщо її тривалість становить не менше чотирнадцяти календарних днів);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за три робочих дні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початку відпустки, якщо її тривалість становить менше чотирнадцяти календарних днів;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 пер</w:t>
      </w:r>
      <w:proofErr w:type="gramEnd"/>
      <w:r>
        <w:rPr>
          <w:rFonts w:ascii="Times New Roman" w:hAnsi="Times New Roman" w:cs="Times New Roman"/>
          <w:sz w:val="24"/>
          <w:szCs w:val="24"/>
        </w:rPr>
        <w:t>іод відпустки судді;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за один робочий день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відрядження та в дні перебування судді у відрядженні;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тимчасової непрацездатності судді;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за один робочий день до направлення судді на навчання,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у дні перебування судді на навчанні,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ідвищення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перебування судді у нарадчій кімнаті більше 8 (восьми) годин;</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в інших передбачених законом випадках, у яких суддя не може здійснювати правосуддя або брати участь у розгляді судових справ.</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 Особливості розподілу окремих категорій справ</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 Справи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скасування заочних рішень, заяви про роз’яснення рішень, заяви про виправлення описок в судових рішеннях та інших заяв в порядку виконання рішень  по архівним справам розподіляти раніше визначеному судді у справі, із застосуванням «Протоколу розподілу (не автоматично)».</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4.2. У випадку необхідності розгляду заяв та матеріалів</w:t>
      </w:r>
      <w:r>
        <w:rPr>
          <w:rFonts w:ascii="Times New Roman" w:hAnsi="Times New Roman" w:cs="Times New Roman"/>
          <w:b/>
          <w:bCs/>
          <w:i/>
          <w:iCs/>
          <w:sz w:val="24"/>
          <w:szCs w:val="24"/>
        </w:rPr>
        <w:t xml:space="preserve"> </w:t>
      </w:r>
      <w:r>
        <w:rPr>
          <w:rFonts w:ascii="Times New Roman" w:hAnsi="Times New Roman" w:cs="Times New Roman"/>
          <w:sz w:val="24"/>
          <w:szCs w:val="24"/>
        </w:rPr>
        <w:t>які відповідно до законодавства</w:t>
      </w:r>
      <w:r>
        <w:rPr>
          <w:rFonts w:ascii="Times New Roman" w:hAnsi="Times New Roman" w:cs="Times New Roman"/>
          <w:b/>
          <w:bCs/>
          <w:i/>
          <w:iCs/>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ідлягають реєстрації, розподілу та розгляду в скорочені терміни - здійснювати їх реєстрацію, автоматичний розподіл та розгляд в неробочі дні у разі виникнення таких обставин.</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4.3. Клопотання та скарги по одному кримінальному провадженню передаються раніше визначеному слідчому судді.</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4.4. У випадку неможливості здійснювати судочинство одним слідчим суддею (відпустка,  лікарняний, відрядження, тощо), а щодо іншого слідчого судді не розподіляються судові справи, які надходять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сім днів до початку відпустки (якщо її тривалість становить не менше 14 календарних днів), за один робочий день до відрядження, та інших випадках – розподіл матеріалів, які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ідлягають розгляду в скорочені терміни здійснюється слідчому судді,  із застосуванням «Протоколу розподілу (не автоматично)».</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Розгляд справ і </w:t>
      </w:r>
      <w:proofErr w:type="gramStart"/>
      <w:r>
        <w:rPr>
          <w:rFonts w:ascii="Times New Roman" w:hAnsi="Times New Roman" w:cs="Times New Roman"/>
          <w:b/>
          <w:bCs/>
          <w:sz w:val="24"/>
          <w:szCs w:val="24"/>
        </w:rPr>
        <w:t>матер</w:t>
      </w:r>
      <w:proofErr w:type="gramEnd"/>
      <w:r>
        <w:rPr>
          <w:rFonts w:ascii="Times New Roman" w:hAnsi="Times New Roman" w:cs="Times New Roman"/>
          <w:b/>
          <w:bCs/>
          <w:sz w:val="24"/>
          <w:szCs w:val="24"/>
        </w:rPr>
        <w:t>іалів стосовно неповнолітніх чи малолітніх</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5.1. Кримінальні провадження або кримінальні справи, де злочини скоєні неповнолітні</w:t>
      </w:r>
      <w:proofErr w:type="gramStart"/>
      <w:r>
        <w:rPr>
          <w:rFonts w:ascii="Times New Roman" w:hAnsi="Times New Roman" w:cs="Times New Roman"/>
          <w:sz w:val="24"/>
          <w:szCs w:val="24"/>
        </w:rPr>
        <w:t>м чи</w:t>
      </w:r>
      <w:proofErr w:type="gramEnd"/>
      <w:r>
        <w:rPr>
          <w:rFonts w:ascii="Times New Roman" w:hAnsi="Times New Roman" w:cs="Times New Roman"/>
          <w:sz w:val="24"/>
          <w:szCs w:val="24"/>
        </w:rPr>
        <w:t xml:space="preserve"> малолітнім розглядають судді, уповноважені зборами суддів.</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6. Слідчі судді</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b/>
          <w:bCs/>
          <w:i/>
          <w:iCs/>
          <w:sz w:val="24"/>
          <w:szCs w:val="24"/>
        </w:rPr>
      </w:pPr>
      <w:r>
        <w:rPr>
          <w:rFonts w:ascii="Times New Roman" w:hAnsi="Times New Roman" w:cs="Times New Roman"/>
          <w:sz w:val="24"/>
          <w:szCs w:val="24"/>
        </w:rPr>
        <w:t xml:space="preserve">6.1. Слідчі судді, які здійснюють повноваження з судового контролю за дотриманням прав, свобод та інтересів осіб у кримінальному провадженні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порядку</w:t>
      </w:r>
      <w:proofErr w:type="gramEnd"/>
      <w:r>
        <w:rPr>
          <w:rFonts w:ascii="Times New Roman" w:hAnsi="Times New Roman" w:cs="Times New Roman"/>
          <w:sz w:val="24"/>
          <w:szCs w:val="24"/>
        </w:rPr>
        <w:t xml:space="preserve">, передбаченому процесуальним законом, обираються строком на </w:t>
      </w:r>
      <w:r>
        <w:rPr>
          <w:rFonts w:ascii="Times New Roman" w:hAnsi="Times New Roman" w:cs="Times New Roman"/>
          <w:color w:val="000000"/>
          <w:sz w:val="24"/>
          <w:szCs w:val="24"/>
        </w:rPr>
        <w:t>2 роки</w:t>
      </w:r>
      <w:r>
        <w:rPr>
          <w:rFonts w:ascii="Times New Roman" w:hAnsi="Times New Roman" w:cs="Times New Roman"/>
          <w:sz w:val="24"/>
          <w:szCs w:val="24"/>
        </w:rPr>
        <w:t>.</w:t>
      </w:r>
      <w:r>
        <w:rPr>
          <w:rFonts w:ascii="Times New Roman" w:hAnsi="Times New Roman" w:cs="Times New Roman"/>
          <w:b/>
          <w:bCs/>
          <w:i/>
          <w:iCs/>
          <w:sz w:val="24"/>
          <w:szCs w:val="24"/>
        </w:rPr>
        <w:t xml:space="preserve">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Розподіл судових справ із судового контролю за дотриманням прав, свобод та інтересів осіб у кримінальному провадженні в порядку, передбаченому процесуальним законом, здійснюється серед слідчих суддів з урахуванням графіку їх роботи, затвердженого наказом голови суду.</w:t>
      </w:r>
      <w:proofErr w:type="gramEnd"/>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У разі неможливості виконання обов’язків слідчого судді відповідно до затвердженого графіка, у зв’язку з перебуванням чергового слідчого судді на лікарняному, відпустці, у нарадчій кімнаті або з інших поважних причин його функції виконує інший суддя, за графіком згідно вимог КПК України.</w:t>
      </w:r>
      <w:proofErr w:type="gramEnd"/>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7. Коефіцієнт форми участі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7.1. Коефіцієнт, що враховує форму участі судді у розгляді судової справи розраховується згідно Положення.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7.2. Коефіцієнт, що враховує форму участі судді у розгляді судової справи, для судд</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учасника колегії дорівнює — 0,001.</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8. Особливості розподілу справ </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 xml:space="preserve"> разі виконання суддею  інших повноважень, не пов’язаних із здійсненням правосуддя</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8.1. Відсоток справ,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ідлягає розподілу для розгляду суддею, у разі виконання ним інших повноважень, не пов’язаних із здійсненням правосуддя для голови суду дорівнює –   100 % (відсоток визначається для кожного суду, виходячи з спеціалізації та навантаження) справ (незалежно від виконання/невиконання ним функцій слідчого судді).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Введення зменшуючого коефіцієнту у зазначених межах допускається виключно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ішенням зборів суддів.  </w:t>
      </w:r>
    </w:p>
    <w:p w:rsidR="00BE7094" w:rsidRDefault="00BE7094" w:rsidP="00BE7094">
      <w:pPr>
        <w:autoSpaceDE w:val="0"/>
        <w:autoSpaceDN w:val="0"/>
        <w:adjustRightInd w:val="0"/>
        <w:spacing w:after="165"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proofErr w:type="gramStart"/>
      <w:r>
        <w:rPr>
          <w:rFonts w:ascii="Times New Roman" w:hAnsi="Times New Roman" w:cs="Times New Roman"/>
          <w:b/>
          <w:bCs/>
          <w:color w:val="000000"/>
          <w:sz w:val="24"/>
          <w:szCs w:val="24"/>
        </w:rPr>
        <w:t>Засади формування  спеціал</w:t>
      </w:r>
      <w:proofErr w:type="gramEnd"/>
      <w:r>
        <w:rPr>
          <w:rFonts w:ascii="Times New Roman" w:hAnsi="Times New Roman" w:cs="Times New Roman"/>
          <w:b/>
          <w:bCs/>
          <w:color w:val="000000"/>
          <w:sz w:val="24"/>
          <w:szCs w:val="24"/>
        </w:rPr>
        <w:t>ізації суддів (колегії)</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9.1. Спеціалізація суддів визначається із розрахунку розподілу не менше 2-х судді</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на одну спеціалізацію.</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9.2. Якщо судова справа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ідлягає розгляду колегією суддів, при автоматизованому розподілі судових справ автоматизованою системою в суді визначається головуючий суддя із числа всіх суддів. Судова справа розглядається колегією суддів, до складу якої входить визначений автоматизованою системою головуючий суддя.</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визначення автоматизованою системою головуючого судді склад колегії суддів автоматично визначається автоматизованою системою згідно з налаштуваннями складу колегій суддів.</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9.3.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разі відсутності наявних суддів по колегії до якої включено суддю, який потребує заміни, заміна відсутнього судді, здійснюється за рахунок суддів з іншого складу колегій.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раз</w:t>
      </w:r>
      <w:proofErr w:type="gramEnd"/>
      <w:r>
        <w:rPr>
          <w:rFonts w:ascii="Times New Roman" w:hAnsi="Times New Roman" w:cs="Times New Roman"/>
          <w:color w:val="000000"/>
          <w:sz w:val="24"/>
          <w:szCs w:val="24"/>
        </w:rPr>
        <w:t xml:space="preserve">і неможливості виконання суддею, який входить до складу колегії суддів, обов’язків судді (тимчасова непрацездатність, відрядження, відпустка тощо), який не є головуючим суддею у судовій справі, повторний автоматизований розподіл судових справ не здійснюється. </w:t>
      </w:r>
      <w:proofErr w:type="gramStart"/>
      <w:r>
        <w:rPr>
          <w:rFonts w:ascii="Times New Roman" w:hAnsi="Times New Roman" w:cs="Times New Roman"/>
          <w:color w:val="000000"/>
          <w:sz w:val="24"/>
          <w:szCs w:val="24"/>
        </w:rPr>
        <w:t>Заміна відсутнього судді, який входить до складу колегії суддів, здійснюється за рахунок запасного судді.</w:t>
      </w:r>
      <w:proofErr w:type="gramEnd"/>
    </w:p>
    <w:p w:rsidR="00BE7094" w:rsidRDefault="00BE7094" w:rsidP="00BE7094">
      <w:pPr>
        <w:autoSpaceDE w:val="0"/>
        <w:autoSpaceDN w:val="0"/>
        <w:adjustRightInd w:val="0"/>
        <w:spacing w:after="165" w:line="36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9.5. У разі задоволення відводу (самовідводу) судді або всього складу суду (якщо справа розглядається колегією суддів), якому розподілено справу для розгляду, справа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ідлягає повторному автоматичному розподілу без урахування цього судді (суддів), з урахування засад формування колегій суддів встановлених цими Засадами, зокрема п.  9.3.  </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10. Керівник апарату суду</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10.1. Керівник апарату суду щоквартально звітує перед зборами суддів з питань функціонування автоматизованої системи документообігу суду, стану розподілу судових справ з метою дотримання збалансованого навантаження на судді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10.2. Керівник апарату суду на письмову вимогу судді надає інформацію щодо стану навантаження на </w:t>
      </w:r>
      <w:proofErr w:type="gramStart"/>
      <w:r>
        <w:rPr>
          <w:rFonts w:ascii="Times New Roman" w:hAnsi="Times New Roman" w:cs="Times New Roman"/>
          <w:sz w:val="24"/>
          <w:szCs w:val="24"/>
        </w:rPr>
        <w:t>кожного</w:t>
      </w:r>
      <w:proofErr w:type="gramEnd"/>
      <w:r>
        <w:rPr>
          <w:rFonts w:ascii="Times New Roman" w:hAnsi="Times New Roman" w:cs="Times New Roman"/>
          <w:sz w:val="24"/>
          <w:szCs w:val="24"/>
        </w:rPr>
        <w:t xml:space="preserve"> суддю.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10.3 Керівник апарату подає голові суду щомісячно інформацію про надходження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до суду та стану їх розгляду.</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11. Відповідальність</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11.1. Внесення недостовірних даних в АСДС, допущення інших порушень які могли вплинути або вплинули на розподіл справ і матеріалів між суддями, працівниками суду відповідальними за реєстрацію справ і матеріалів, внесення даних до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іково-статистичних карток, може бути підставою для притягнення до відповідальності. </w:t>
      </w: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12. Знеструмлення електромережі суду</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12.1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фіксуються актами, складеними комісією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Електронні примірники зазначених актів вносяться до автоматизованої системи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наступного робочого дня, що настає після усунення обставин.</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12.2 Автоматизований розподіл судових справ між суддями здійснюється невідкладно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налагодження роботи автоматизованої системи або на наступний робочий день після усунення обставин.</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12.3</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разі настання обставин, які унеможливлюють функціонування автоматизованої системи, розподіл судових справ, які за законом мають розглядатися невідкладно з метою недопущення порушення конституційних прав громадян (судові справи</w:t>
      </w:r>
      <w:r>
        <w:rPr>
          <w:rFonts w:ascii="Times New Roman" w:hAnsi="Times New Roman" w:cs="Times New Roman"/>
          <w:b/>
          <w:bCs/>
          <w:sz w:val="24"/>
          <w:szCs w:val="24"/>
        </w:rPr>
        <w:t>,</w:t>
      </w:r>
      <w:r>
        <w:rPr>
          <w:rFonts w:ascii="Times New Roman" w:hAnsi="Times New Roman" w:cs="Times New Roman"/>
          <w:sz w:val="24"/>
          <w:szCs w:val="24"/>
        </w:rPr>
        <w:t xml:space="preserve"> пов’язані </w:t>
      </w:r>
      <w:r>
        <w:rPr>
          <w:rFonts w:ascii="Times New Roman" w:hAnsi="Times New Roman" w:cs="Times New Roman"/>
          <w:b/>
          <w:bCs/>
          <w:sz w:val="24"/>
          <w:szCs w:val="24"/>
        </w:rPr>
        <w:t>з</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виборчим процесом, судові справи про встановлення або усунення обмежень щодо реалізації права на мирні зібрання, вирішення питання про обрання міри запобіжного заходу у виді взяття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варту, клопотання слідчого, прокурора про забезпечення кримінального провадження, клопотання про проникнення у житло, обшук чи огляд житла тощо) здійснюється з урахуванням графіку, затвердженого головою суду, шляхом випадкового визначення головуючого (складу суду) по справі. </w:t>
      </w:r>
    </w:p>
    <w:p w:rsidR="00BE7094" w:rsidRDefault="00BE7094" w:rsidP="00BE7094">
      <w:pPr>
        <w:autoSpaceDE w:val="0"/>
        <w:autoSpaceDN w:val="0"/>
        <w:adjustRightInd w:val="0"/>
        <w:spacing w:after="16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12.4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ізніше наступного робочого дня після усунення обставин, які унеможливлюють функціонування автоматизованої системи, до автоматизованої системи вноситься передбачена Положенням про автоматизовану систему документообігу суду інформація із зазначенням у </w:t>
      </w:r>
      <w:r>
        <w:rPr>
          <w:rFonts w:ascii="Times New Roman" w:hAnsi="Times New Roman" w:cs="Times New Roman"/>
          <w:color w:val="000000"/>
          <w:sz w:val="24"/>
          <w:szCs w:val="24"/>
        </w:rPr>
        <w:t>хронологічному порядку номера</w:t>
      </w:r>
      <w:r>
        <w:rPr>
          <w:rFonts w:ascii="Times New Roman" w:hAnsi="Times New Roman" w:cs="Times New Roman"/>
          <w:sz w:val="24"/>
          <w:szCs w:val="24"/>
        </w:rPr>
        <w:t xml:space="preserve"> та дати фактичного надходження кореспонденції до суду, а також інформація про її розподіл.</w:t>
      </w: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P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P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1</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Засад застосування автоматизованої системи документообігу суду для розподілу судових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між суддями в Роздільнянському районному суді Одеської області</w:t>
      </w: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Довідка про перелік справ, які надійшли </w:t>
      </w:r>
      <w:proofErr w:type="gramStart"/>
      <w:r>
        <w:rPr>
          <w:rFonts w:ascii="Times New Roman" w:hAnsi="Times New Roman" w:cs="Times New Roman"/>
          <w:b/>
          <w:bCs/>
          <w:sz w:val="24"/>
          <w:szCs w:val="24"/>
        </w:rPr>
        <w:t>до</w:t>
      </w:r>
      <w:proofErr w:type="gramEnd"/>
      <w:r>
        <w:rPr>
          <w:rFonts w:ascii="Times New Roman" w:hAnsi="Times New Roman" w:cs="Times New Roman"/>
          <w:b/>
          <w:bCs/>
          <w:sz w:val="24"/>
          <w:szCs w:val="24"/>
        </w:rPr>
        <w:t xml:space="preserve"> суду протягом “___” _____ року</w:t>
      </w:r>
    </w:p>
    <w:tbl>
      <w:tblPr>
        <w:tblW w:w="9750" w:type="dxa"/>
        <w:tblInd w:w="60" w:type="dxa"/>
        <w:tblLayout w:type="fixed"/>
        <w:tblCellMar>
          <w:top w:w="60" w:type="dxa"/>
          <w:left w:w="60" w:type="dxa"/>
          <w:bottom w:w="60" w:type="dxa"/>
          <w:right w:w="60" w:type="dxa"/>
        </w:tblCellMar>
        <w:tblLook w:val="0000"/>
      </w:tblPr>
      <w:tblGrid>
        <w:gridCol w:w="1203"/>
        <w:gridCol w:w="1233"/>
        <w:gridCol w:w="1204"/>
        <w:gridCol w:w="1234"/>
        <w:gridCol w:w="1204"/>
        <w:gridCol w:w="1234"/>
        <w:gridCol w:w="1204"/>
        <w:gridCol w:w="1234"/>
      </w:tblGrid>
      <w:tr w:rsidR="00BE7094">
        <w:tc>
          <w:tcPr>
            <w:tcW w:w="120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з/</w:t>
            </w:r>
            <w:proofErr w:type="gramStart"/>
            <w:r>
              <w:rPr>
                <w:rFonts w:ascii="Times New Roman" w:hAnsi="Times New Roman" w:cs="Times New Roman"/>
                <w:b/>
                <w:bCs/>
                <w:sz w:val="24"/>
                <w:szCs w:val="24"/>
              </w:rPr>
              <w:t>п</w:t>
            </w:r>
            <w:proofErr w:type="gramEnd"/>
          </w:p>
        </w:tc>
        <w:tc>
          <w:tcPr>
            <w:tcW w:w="123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Від кого надійшов документ, </w:t>
            </w:r>
            <w:proofErr w:type="gramStart"/>
            <w:r>
              <w:rPr>
                <w:rFonts w:ascii="Times New Roman" w:hAnsi="Times New Roman" w:cs="Times New Roman"/>
                <w:b/>
                <w:bCs/>
                <w:sz w:val="24"/>
                <w:szCs w:val="24"/>
              </w:rPr>
              <w:t>матер</w:t>
            </w:r>
            <w:proofErr w:type="gramEnd"/>
            <w:r>
              <w:rPr>
                <w:rFonts w:ascii="Times New Roman" w:hAnsi="Times New Roman" w:cs="Times New Roman"/>
                <w:b/>
                <w:bCs/>
                <w:sz w:val="24"/>
                <w:szCs w:val="24"/>
              </w:rPr>
              <w:t>іал, чи справа</w:t>
            </w:r>
          </w:p>
        </w:tc>
        <w:tc>
          <w:tcPr>
            <w:tcW w:w="120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справи м</w:t>
            </w:r>
            <w:proofErr w:type="gramEnd"/>
            <w:r>
              <w:rPr>
                <w:rFonts w:ascii="Times New Roman" w:hAnsi="Times New Roman" w:cs="Times New Roman"/>
                <w:b/>
                <w:bCs/>
                <w:sz w:val="24"/>
                <w:szCs w:val="24"/>
              </w:rPr>
              <w:t>ісцевого суду</w:t>
            </w:r>
          </w:p>
        </w:tc>
        <w:tc>
          <w:tcPr>
            <w:tcW w:w="123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 якими номером та датою</w:t>
            </w:r>
          </w:p>
        </w:tc>
        <w:tc>
          <w:tcPr>
            <w:tcW w:w="120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Тип документа</w:t>
            </w:r>
          </w:p>
        </w:tc>
        <w:tc>
          <w:tcPr>
            <w:tcW w:w="123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Короткий змі</w:t>
            </w:r>
            <w:proofErr w:type="gramStart"/>
            <w:r>
              <w:rPr>
                <w:rFonts w:ascii="Times New Roman" w:hAnsi="Times New Roman" w:cs="Times New Roman"/>
                <w:b/>
                <w:bCs/>
                <w:sz w:val="24"/>
                <w:szCs w:val="24"/>
              </w:rPr>
              <w:t>ст</w:t>
            </w:r>
            <w:proofErr w:type="gramEnd"/>
            <w:r>
              <w:rPr>
                <w:rFonts w:ascii="Times New Roman" w:hAnsi="Times New Roman" w:cs="Times New Roman"/>
                <w:b/>
                <w:bCs/>
                <w:sz w:val="24"/>
                <w:szCs w:val="24"/>
              </w:rPr>
              <w:t xml:space="preserve"> документа, матеріалу си справи</w:t>
            </w:r>
          </w:p>
        </w:tc>
        <w:tc>
          <w:tcPr>
            <w:tcW w:w="120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Номер провадження (якщо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ідлягає реєстрації)</w:t>
            </w:r>
          </w:p>
        </w:tc>
        <w:tc>
          <w:tcPr>
            <w:tcW w:w="1230" w:type="dxa"/>
            <w:tcBorders>
              <w:top w:val="single" w:sz="6" w:space="0" w:color="000000"/>
              <w:left w:val="single" w:sz="6" w:space="0" w:color="000000"/>
              <w:bottom w:val="single" w:sz="6" w:space="0" w:color="000000"/>
              <w:right w:val="single" w:sz="6" w:space="0" w:color="000000"/>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ідстави відсутності реєстрації</w:t>
            </w:r>
          </w:p>
        </w:tc>
      </w:tr>
      <w:tr w:rsidR="00BE7094">
        <w:tblPrEx>
          <w:tblCellSpacing w:w="-8" w:type="nil"/>
        </w:tblPrEx>
        <w:trPr>
          <w:tblCellSpacing w:w="-8" w:type="nil"/>
        </w:trPr>
        <w:tc>
          <w:tcPr>
            <w:tcW w:w="120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3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0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0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30" w:type="dxa"/>
            <w:tcBorders>
              <w:top w:val="nil"/>
              <w:left w:val="single" w:sz="6" w:space="0" w:color="000000"/>
              <w:bottom w:val="single" w:sz="6" w:space="0" w:color="000000"/>
              <w:right w:val="single" w:sz="6" w:space="0" w:color="000000"/>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Керівник апарату суду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ІБ</w:t>
      </w: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Відповідальна особа суду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ІБ</w:t>
      </w: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lang w:val="en-US"/>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2</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Засад  застосування автоматизованої системи документообігу суду для розподілу судових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між суддями в Роздільнянському районному суді Одеської області</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Довідка </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про відсутніх на робочому місці суддів</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“___” ______ року</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Станом на 09:30 “___” ______ року згідно даних наявних у відділі кадрової роботи та державної служби (посадова особа суду, відповідальна за ведення кадрової роботи або особа, яка виконує його обов’язки) (накази голови суду, повідомлення суддів про відкриття лікарняного) відсутні на робочому місці наступні судді:</w:t>
      </w:r>
      <w:proofErr w:type="gramEnd"/>
    </w:p>
    <w:tbl>
      <w:tblPr>
        <w:tblW w:w="9705" w:type="dxa"/>
        <w:tblInd w:w="60" w:type="dxa"/>
        <w:tblLayout w:type="fixed"/>
        <w:tblCellMar>
          <w:top w:w="60" w:type="dxa"/>
          <w:left w:w="60" w:type="dxa"/>
          <w:bottom w:w="60" w:type="dxa"/>
          <w:right w:w="60" w:type="dxa"/>
        </w:tblCellMar>
        <w:tblLook w:val="0000"/>
      </w:tblPr>
      <w:tblGrid>
        <w:gridCol w:w="571"/>
        <w:gridCol w:w="2554"/>
        <w:gridCol w:w="2854"/>
        <w:gridCol w:w="3726"/>
      </w:tblGrid>
      <w:tr w:rsidR="00BE7094">
        <w:tc>
          <w:tcPr>
            <w:tcW w:w="57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з/</w:t>
            </w:r>
            <w:proofErr w:type="gramStart"/>
            <w:r>
              <w:rPr>
                <w:rFonts w:ascii="Times New Roman" w:hAnsi="Times New Roman" w:cs="Times New Roman"/>
                <w:b/>
                <w:bCs/>
                <w:sz w:val="24"/>
                <w:szCs w:val="24"/>
              </w:rPr>
              <w:t>п</w:t>
            </w:r>
            <w:proofErr w:type="gramEnd"/>
          </w:p>
        </w:tc>
        <w:tc>
          <w:tcPr>
            <w:tcW w:w="255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ІБ судді</w:t>
            </w:r>
          </w:p>
        </w:tc>
        <w:tc>
          <w:tcPr>
            <w:tcW w:w="2850" w:type="dxa"/>
            <w:tcBorders>
              <w:top w:val="single" w:sz="6" w:space="0" w:color="000000"/>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Дата та номер наказу (</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 xml:space="preserve"> разі відпустки, відрядження тощо) або дата відкриття лікарняного</w:t>
            </w:r>
          </w:p>
        </w:tc>
        <w:tc>
          <w:tcPr>
            <w:tcW w:w="3720" w:type="dxa"/>
            <w:tcBorders>
              <w:top w:val="single" w:sz="6" w:space="0" w:color="000000"/>
              <w:left w:val="single" w:sz="6" w:space="0" w:color="000000"/>
              <w:bottom w:val="single" w:sz="6" w:space="0" w:color="000000"/>
              <w:right w:val="single" w:sz="6" w:space="0" w:color="000000"/>
            </w:tcBorders>
          </w:tcPr>
          <w:p w:rsidR="00BE7094" w:rsidRDefault="00BE709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Причина відсутності судді на робочому місці</w:t>
            </w:r>
          </w:p>
        </w:tc>
      </w:tr>
      <w:tr w:rsidR="00BE7094">
        <w:tblPrEx>
          <w:tblCellSpacing w:w="-8" w:type="nil"/>
        </w:tblPrEx>
        <w:trPr>
          <w:tblCellSpacing w:w="-8" w:type="nil"/>
        </w:trPr>
        <w:tc>
          <w:tcPr>
            <w:tcW w:w="57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both"/>
              <w:rPr>
                <w:rFonts w:ascii="Times New Roman" w:hAnsi="Times New Roman" w:cs="Times New Roman"/>
                <w:sz w:val="24"/>
                <w:szCs w:val="24"/>
              </w:rPr>
            </w:pPr>
          </w:p>
        </w:tc>
        <w:tc>
          <w:tcPr>
            <w:tcW w:w="285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both"/>
              <w:rPr>
                <w:rFonts w:ascii="Times New Roman" w:hAnsi="Times New Roman" w:cs="Times New Roman"/>
                <w:sz w:val="24"/>
                <w:szCs w:val="24"/>
              </w:rPr>
            </w:pPr>
          </w:p>
        </w:tc>
        <w:tc>
          <w:tcPr>
            <w:tcW w:w="3720" w:type="dxa"/>
            <w:tcBorders>
              <w:top w:val="nil"/>
              <w:left w:val="single" w:sz="6" w:space="0" w:color="000000"/>
              <w:bottom w:val="single" w:sz="6" w:space="0" w:color="000000"/>
              <w:right w:val="single" w:sz="6" w:space="0" w:color="000000"/>
            </w:tcBorders>
          </w:tcPr>
          <w:p w:rsidR="00BE7094" w:rsidRDefault="00BE7094">
            <w:pPr>
              <w:autoSpaceDE w:val="0"/>
              <w:autoSpaceDN w:val="0"/>
              <w:adjustRightInd w:val="0"/>
              <w:spacing w:after="0" w:line="360" w:lineRule="auto"/>
              <w:jc w:val="both"/>
              <w:rPr>
                <w:rFonts w:ascii="Times New Roman" w:hAnsi="Times New Roman" w:cs="Times New Roman"/>
                <w:sz w:val="24"/>
                <w:szCs w:val="24"/>
              </w:rPr>
            </w:pPr>
          </w:p>
        </w:tc>
      </w:tr>
      <w:tr w:rsidR="00BE7094">
        <w:tblPrEx>
          <w:tblCellSpacing w:w="-8" w:type="nil"/>
        </w:tblPrEx>
        <w:trPr>
          <w:tblCellSpacing w:w="-8" w:type="nil"/>
        </w:trPr>
        <w:tc>
          <w:tcPr>
            <w:tcW w:w="57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both"/>
              <w:rPr>
                <w:rFonts w:ascii="Times New Roman" w:hAnsi="Times New Roman" w:cs="Times New Roman"/>
                <w:sz w:val="24"/>
                <w:szCs w:val="24"/>
              </w:rPr>
            </w:pPr>
          </w:p>
        </w:tc>
        <w:tc>
          <w:tcPr>
            <w:tcW w:w="2850" w:type="dxa"/>
            <w:tcBorders>
              <w:top w:val="nil"/>
              <w:left w:val="single" w:sz="6" w:space="0" w:color="000000"/>
              <w:bottom w:val="single" w:sz="6" w:space="0" w:color="000000"/>
              <w:right w:val="nil"/>
            </w:tcBorders>
          </w:tcPr>
          <w:p w:rsidR="00BE7094" w:rsidRDefault="00BE7094">
            <w:pPr>
              <w:autoSpaceDE w:val="0"/>
              <w:autoSpaceDN w:val="0"/>
              <w:adjustRightInd w:val="0"/>
              <w:spacing w:after="0" w:line="360" w:lineRule="auto"/>
              <w:jc w:val="both"/>
              <w:rPr>
                <w:rFonts w:ascii="Times New Roman" w:hAnsi="Times New Roman" w:cs="Times New Roman"/>
                <w:sz w:val="24"/>
                <w:szCs w:val="24"/>
              </w:rPr>
            </w:pPr>
          </w:p>
        </w:tc>
        <w:tc>
          <w:tcPr>
            <w:tcW w:w="3720" w:type="dxa"/>
            <w:tcBorders>
              <w:top w:val="nil"/>
              <w:left w:val="single" w:sz="6" w:space="0" w:color="000000"/>
              <w:bottom w:val="single" w:sz="6" w:space="0" w:color="000000"/>
              <w:right w:val="single" w:sz="6" w:space="0" w:color="000000"/>
            </w:tcBorders>
          </w:tcPr>
          <w:p w:rsidR="00BE7094" w:rsidRDefault="00BE7094">
            <w:pPr>
              <w:autoSpaceDE w:val="0"/>
              <w:autoSpaceDN w:val="0"/>
              <w:adjustRightInd w:val="0"/>
              <w:spacing w:after="0" w:line="360" w:lineRule="auto"/>
              <w:jc w:val="both"/>
              <w:rPr>
                <w:rFonts w:ascii="Times New Roman" w:hAnsi="Times New Roman" w:cs="Times New Roman"/>
                <w:sz w:val="24"/>
                <w:szCs w:val="24"/>
              </w:rPr>
            </w:pPr>
          </w:p>
        </w:tc>
      </w:tr>
    </w:tbl>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Керівник апарату суду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ІБ</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Відповідальна особа суду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ІБ</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3</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Засад застосування автоматизованої системи документообігу суду для розподілу судових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між суддями в Роздільнянському районному суді Одеської області</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АКТ</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 внесення недостовірних даних в АСДС, які могли вплинути на розподіл справ та </w:t>
      </w:r>
      <w:proofErr w:type="gramStart"/>
      <w:r>
        <w:rPr>
          <w:rFonts w:ascii="Times New Roman" w:hAnsi="Times New Roman" w:cs="Times New Roman"/>
          <w:b/>
          <w:bCs/>
          <w:sz w:val="24"/>
          <w:szCs w:val="24"/>
        </w:rPr>
        <w:t>матер</w:t>
      </w:r>
      <w:proofErr w:type="gramEnd"/>
      <w:r>
        <w:rPr>
          <w:rFonts w:ascii="Times New Roman" w:hAnsi="Times New Roman" w:cs="Times New Roman"/>
          <w:b/>
          <w:bCs/>
          <w:sz w:val="24"/>
          <w:szCs w:val="24"/>
        </w:rPr>
        <w:t>іалів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Мною, посада,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ІБ, “дата складання акту”, складено акт, у присутності, посада, ПІБ, акт про виявлення внесення недостовірних даних в АСДС, які могли вплинути на розподіл справ і матеріалів, а саме:</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що було виявлено суддею (суддями)</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ідпис судді (суддів)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4</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Засад застосування автоматизованої системи документообігу суду для розподілу судових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між суддями в Роздільнянському районному суді Одеської області</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Перелік суддів, які мають повноваження розглядати кримінальні провадження або кримінальні справи, де злочини скоєні неповнолітні</w:t>
      </w:r>
      <w:proofErr w:type="gramStart"/>
      <w:r>
        <w:rPr>
          <w:rFonts w:ascii="Times New Roman" w:hAnsi="Times New Roman" w:cs="Times New Roman"/>
          <w:b/>
          <w:bCs/>
          <w:sz w:val="24"/>
          <w:szCs w:val="24"/>
        </w:rPr>
        <w:t>м чи</w:t>
      </w:r>
      <w:proofErr w:type="gramEnd"/>
      <w:r>
        <w:rPr>
          <w:rFonts w:ascii="Times New Roman" w:hAnsi="Times New Roman" w:cs="Times New Roman"/>
          <w:b/>
          <w:bCs/>
          <w:sz w:val="24"/>
          <w:szCs w:val="24"/>
        </w:rPr>
        <w:t xml:space="preserve"> малолітнім </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з “22” грудня 2014 року</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Теренчук Ж.В.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Панчук А.І.</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5</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Засад застосування автоматизованої системи документообігу суду для розподілу судових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між суддями в Роздільнянському районному суді Одеської області</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Перелік слідчих судді</w:t>
      </w:r>
      <w:proofErr w:type="gramStart"/>
      <w:r>
        <w:rPr>
          <w:rFonts w:ascii="Times New Roman" w:hAnsi="Times New Roman" w:cs="Times New Roman"/>
          <w:b/>
          <w:bCs/>
          <w:sz w:val="24"/>
          <w:szCs w:val="24"/>
        </w:rPr>
        <w:t>в</w:t>
      </w:r>
      <w:proofErr w:type="gramEnd"/>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з “1” листопада 2014 року</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Гринчак С.І.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Іванова О.В.</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6</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Засад застосування автоматизованої системи документообігу суду для розподілу судових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між суддями в Роздільнянському районному суді Одеської області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Перелік складу колегій  суддів щодо розгляду кримінальних справ</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Колегія №1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Колегія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Колегія №3</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Іванова О.В.-гол.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Гринчак С.І.-гол.   </w:t>
      </w:r>
      <w:r>
        <w:rPr>
          <w:rFonts w:ascii="Times New Roman" w:hAnsi="Times New Roman" w:cs="Times New Roman"/>
          <w:sz w:val="24"/>
          <w:szCs w:val="24"/>
        </w:rPr>
        <w:tab/>
      </w:r>
      <w:r>
        <w:rPr>
          <w:rFonts w:ascii="Times New Roman" w:hAnsi="Times New Roman" w:cs="Times New Roman"/>
          <w:sz w:val="24"/>
          <w:szCs w:val="24"/>
        </w:rPr>
        <w:tab/>
        <w:t>Панчук А.І.-гол.</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Панчук А.І.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Ільяшук А.В.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Бобровська</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Бобровська І.В.</w:t>
      </w:r>
      <w:r>
        <w:rPr>
          <w:rFonts w:ascii="Times New Roman" w:hAnsi="Times New Roman" w:cs="Times New Roman"/>
          <w:sz w:val="24"/>
          <w:szCs w:val="24"/>
        </w:rPr>
        <w:tab/>
      </w:r>
      <w:r>
        <w:rPr>
          <w:rFonts w:ascii="Times New Roman" w:hAnsi="Times New Roman" w:cs="Times New Roman"/>
          <w:sz w:val="24"/>
          <w:szCs w:val="24"/>
        </w:rPr>
        <w:tab/>
        <w:t>Іванова О.В.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Ільяшук А.В. (зап)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Панчук А.І. (зап)</w:t>
      </w:r>
      <w:r>
        <w:rPr>
          <w:rFonts w:ascii="Times New Roman" w:hAnsi="Times New Roman" w:cs="Times New Roman"/>
          <w:sz w:val="24"/>
          <w:szCs w:val="24"/>
        </w:rPr>
        <w:tab/>
      </w:r>
      <w:r>
        <w:rPr>
          <w:rFonts w:ascii="Times New Roman" w:hAnsi="Times New Roman" w:cs="Times New Roman"/>
          <w:sz w:val="24"/>
          <w:szCs w:val="24"/>
        </w:rPr>
        <w:tab/>
        <w:t>Гринчак С.І. (зап)</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Колегія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Колегія №5    </w:t>
      </w:r>
      <w:r>
        <w:rPr>
          <w:rFonts w:ascii="Times New Roman" w:hAnsi="Times New Roman" w:cs="Times New Roman"/>
          <w:b/>
          <w:bCs/>
          <w:sz w:val="24"/>
          <w:szCs w:val="24"/>
        </w:rPr>
        <w:tab/>
      </w:r>
      <w:r>
        <w:rPr>
          <w:rFonts w:ascii="Times New Roman" w:hAnsi="Times New Roman" w:cs="Times New Roman"/>
          <w:b/>
          <w:bCs/>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Бобровська І.В.-гол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ьяшук А.В.-гол.  </w:t>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Панчук А.І.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Панчук А.І.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Гринчак С.І.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Іванова О.В. (зап)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Бобровська</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В. (зап)</w:t>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7</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Засад застосування автоматизованої системи документообігу суду для розподілу судових справ та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іалів між суддями в Роздільнянському районному суді Одеської області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Перелік складу колегій  суддів щодо розгляду кримінальних справ і </w:t>
      </w:r>
      <w:proofErr w:type="gramStart"/>
      <w:r>
        <w:rPr>
          <w:rFonts w:ascii="Times New Roman" w:hAnsi="Times New Roman" w:cs="Times New Roman"/>
          <w:b/>
          <w:bCs/>
          <w:sz w:val="24"/>
          <w:szCs w:val="24"/>
        </w:rPr>
        <w:t>матер</w:t>
      </w:r>
      <w:proofErr w:type="gramEnd"/>
      <w:r>
        <w:rPr>
          <w:rFonts w:ascii="Times New Roman" w:hAnsi="Times New Roman" w:cs="Times New Roman"/>
          <w:b/>
          <w:bCs/>
          <w:sz w:val="24"/>
          <w:szCs w:val="24"/>
        </w:rPr>
        <w:t xml:space="preserve">іалів </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стосовно неповнолітніх чи малолітніх</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Колегія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Колегія №7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Теренчук Ж.В. - гол.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Панчук А.І. - гол.</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Іванова 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Іванова О.В.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Бобровська</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В. (зап)</w:t>
      </w:r>
      <w:r>
        <w:rPr>
          <w:rFonts w:ascii="Times New Roman" w:hAnsi="Times New Roman" w:cs="Times New Roman"/>
          <w:sz w:val="24"/>
          <w:szCs w:val="24"/>
        </w:rPr>
        <w:tab/>
      </w:r>
      <w:r>
        <w:rPr>
          <w:rFonts w:ascii="Times New Roman" w:hAnsi="Times New Roman" w:cs="Times New Roman"/>
          <w:sz w:val="24"/>
          <w:szCs w:val="24"/>
        </w:rPr>
        <w:tab/>
        <w:t>Гринчак С.І. (зап)</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1</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зборів суддів № 11 від 10 червня 2015р. Роздільнянського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суду Одеської області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Перелік складу колегій  суддів щодо розгляду кримінальних справ</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Колегія №1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Колегія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Колегія №3</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Іванова О.В.-гол.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Гринчак С.І.-гол.   </w:t>
      </w:r>
      <w:r>
        <w:rPr>
          <w:rFonts w:ascii="Times New Roman" w:hAnsi="Times New Roman" w:cs="Times New Roman"/>
          <w:sz w:val="24"/>
          <w:szCs w:val="24"/>
        </w:rPr>
        <w:tab/>
      </w:r>
      <w:r>
        <w:rPr>
          <w:rFonts w:ascii="Times New Roman" w:hAnsi="Times New Roman" w:cs="Times New Roman"/>
          <w:sz w:val="24"/>
          <w:szCs w:val="24"/>
        </w:rPr>
        <w:tab/>
        <w:t>Панчук А.І.-гол.</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Панчук А.І.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Ільяшук А.В.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Бобровська</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Бобровська І.В.</w:t>
      </w:r>
      <w:r>
        <w:rPr>
          <w:rFonts w:ascii="Times New Roman" w:hAnsi="Times New Roman" w:cs="Times New Roman"/>
          <w:sz w:val="24"/>
          <w:szCs w:val="24"/>
        </w:rPr>
        <w:tab/>
      </w:r>
      <w:r>
        <w:rPr>
          <w:rFonts w:ascii="Times New Roman" w:hAnsi="Times New Roman" w:cs="Times New Roman"/>
          <w:sz w:val="24"/>
          <w:szCs w:val="24"/>
        </w:rPr>
        <w:tab/>
        <w:t>Іванова О.В.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Ільяшук А.В. (зап)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Панчук А.І. (зап)</w:t>
      </w:r>
      <w:r>
        <w:rPr>
          <w:rFonts w:ascii="Times New Roman" w:hAnsi="Times New Roman" w:cs="Times New Roman"/>
          <w:sz w:val="24"/>
          <w:szCs w:val="24"/>
        </w:rPr>
        <w:tab/>
      </w:r>
      <w:r>
        <w:rPr>
          <w:rFonts w:ascii="Times New Roman" w:hAnsi="Times New Roman" w:cs="Times New Roman"/>
          <w:sz w:val="24"/>
          <w:szCs w:val="24"/>
        </w:rPr>
        <w:tab/>
        <w:t>Гринчак С.І. (зап)</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Колегія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Колегія №5    </w:t>
      </w:r>
      <w:r>
        <w:rPr>
          <w:rFonts w:ascii="Times New Roman" w:hAnsi="Times New Roman" w:cs="Times New Roman"/>
          <w:b/>
          <w:bCs/>
          <w:sz w:val="24"/>
          <w:szCs w:val="24"/>
        </w:rPr>
        <w:tab/>
      </w:r>
      <w:r>
        <w:rPr>
          <w:rFonts w:ascii="Times New Roman" w:hAnsi="Times New Roman" w:cs="Times New Roman"/>
          <w:b/>
          <w:bCs/>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Бобровська І.В.-гол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ьяшук А.В.-гол.  </w:t>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Панчук А.І.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Панчук А.І.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Гринчак С.І.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Іванова О.В. (зап)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Бобровська</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В. (зап)</w:t>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0" w:line="360" w:lineRule="auto"/>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lang w:val="en-US"/>
        </w:rPr>
      </w:pPr>
    </w:p>
    <w:p w:rsidR="00BE7094" w:rsidRDefault="00BE7094" w:rsidP="00BE7094">
      <w:pPr>
        <w:autoSpaceDE w:val="0"/>
        <w:autoSpaceDN w:val="0"/>
        <w:adjustRightInd w:val="0"/>
        <w:spacing w:after="165" w:line="360" w:lineRule="auto"/>
        <w:ind w:left="3975"/>
        <w:jc w:val="both"/>
        <w:rPr>
          <w:rFonts w:ascii="Times New Roman" w:hAnsi="Times New Roman" w:cs="Times New Roman"/>
          <w:b/>
          <w:bCs/>
          <w:sz w:val="24"/>
          <w:szCs w:val="24"/>
        </w:rPr>
      </w:pPr>
      <w:r>
        <w:rPr>
          <w:rFonts w:ascii="Times New Roman" w:hAnsi="Times New Roman" w:cs="Times New Roman"/>
          <w:b/>
          <w:bCs/>
          <w:sz w:val="24"/>
          <w:szCs w:val="24"/>
        </w:rPr>
        <w:lastRenderedPageBreak/>
        <w:t>Додаток № 2</w:t>
      </w:r>
    </w:p>
    <w:p w:rsidR="00BE7094" w:rsidRDefault="00BE7094" w:rsidP="00BE7094">
      <w:pPr>
        <w:autoSpaceDE w:val="0"/>
        <w:autoSpaceDN w:val="0"/>
        <w:adjustRightInd w:val="0"/>
        <w:spacing w:after="165" w:line="360" w:lineRule="auto"/>
        <w:ind w:left="3975"/>
        <w:jc w:val="both"/>
        <w:rPr>
          <w:rFonts w:ascii="Times New Roman" w:hAnsi="Times New Roman" w:cs="Times New Roman"/>
          <w:sz w:val="24"/>
          <w:szCs w:val="24"/>
        </w:rPr>
      </w:pPr>
      <w:r>
        <w:rPr>
          <w:rFonts w:ascii="Times New Roman" w:hAnsi="Times New Roman" w:cs="Times New Roman"/>
          <w:sz w:val="24"/>
          <w:szCs w:val="24"/>
        </w:rPr>
        <w:t xml:space="preserve">до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зборів суддів № 11 від 10 червня 2015р. Роздільнянського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суду Одеської області</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Перелік складу колегій  суддів щодо розгляду кримінальних справ і </w:t>
      </w:r>
      <w:proofErr w:type="gramStart"/>
      <w:r>
        <w:rPr>
          <w:rFonts w:ascii="Times New Roman" w:hAnsi="Times New Roman" w:cs="Times New Roman"/>
          <w:b/>
          <w:bCs/>
          <w:sz w:val="24"/>
          <w:szCs w:val="24"/>
        </w:rPr>
        <w:t>матер</w:t>
      </w:r>
      <w:proofErr w:type="gramEnd"/>
      <w:r>
        <w:rPr>
          <w:rFonts w:ascii="Times New Roman" w:hAnsi="Times New Roman" w:cs="Times New Roman"/>
          <w:b/>
          <w:bCs/>
          <w:sz w:val="24"/>
          <w:szCs w:val="24"/>
        </w:rPr>
        <w:t xml:space="preserve">іалів </w:t>
      </w:r>
    </w:p>
    <w:p w:rsidR="00BE7094" w:rsidRDefault="00BE7094" w:rsidP="00BE7094">
      <w:pPr>
        <w:autoSpaceDE w:val="0"/>
        <w:autoSpaceDN w:val="0"/>
        <w:adjustRightInd w:val="0"/>
        <w:spacing w:after="165" w:line="360" w:lineRule="auto"/>
        <w:jc w:val="center"/>
        <w:rPr>
          <w:rFonts w:ascii="Times New Roman" w:hAnsi="Times New Roman" w:cs="Times New Roman"/>
          <w:b/>
          <w:bCs/>
          <w:sz w:val="24"/>
          <w:szCs w:val="24"/>
        </w:rPr>
      </w:pPr>
      <w:r>
        <w:rPr>
          <w:rFonts w:ascii="Times New Roman" w:hAnsi="Times New Roman" w:cs="Times New Roman"/>
          <w:b/>
          <w:bCs/>
          <w:sz w:val="24"/>
          <w:szCs w:val="24"/>
        </w:rPr>
        <w:t>стосовно неповнолітніх чи малолітніх</w:t>
      </w:r>
    </w:p>
    <w:p w:rsidR="00BE7094" w:rsidRDefault="00BE7094" w:rsidP="00BE7094">
      <w:pPr>
        <w:autoSpaceDE w:val="0"/>
        <w:autoSpaceDN w:val="0"/>
        <w:adjustRightInd w:val="0"/>
        <w:spacing w:after="165" w:line="360" w:lineRule="auto"/>
        <w:jc w:val="center"/>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b/>
          <w:bCs/>
          <w:sz w:val="24"/>
          <w:szCs w:val="24"/>
        </w:rPr>
      </w:pPr>
      <w:r>
        <w:rPr>
          <w:rFonts w:ascii="Times New Roman" w:hAnsi="Times New Roman" w:cs="Times New Roman"/>
          <w:b/>
          <w:bCs/>
          <w:sz w:val="24"/>
          <w:szCs w:val="24"/>
        </w:rPr>
        <w:t>Колегія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Колегія №7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Теренчук Ж.В. - гол.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Панчук А.І. - гол.</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Іванова 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Ільяшук А.В.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Іванова О.В.</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r>
        <w:rPr>
          <w:rFonts w:ascii="Times New Roman" w:hAnsi="Times New Roman" w:cs="Times New Roman"/>
          <w:sz w:val="24"/>
          <w:szCs w:val="24"/>
        </w:rPr>
        <w:t xml:space="preserve"> Бобровська</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В. (зап)</w:t>
      </w:r>
      <w:r>
        <w:rPr>
          <w:rFonts w:ascii="Times New Roman" w:hAnsi="Times New Roman" w:cs="Times New Roman"/>
          <w:sz w:val="24"/>
          <w:szCs w:val="24"/>
        </w:rPr>
        <w:tab/>
      </w:r>
      <w:r>
        <w:rPr>
          <w:rFonts w:ascii="Times New Roman" w:hAnsi="Times New Roman" w:cs="Times New Roman"/>
          <w:sz w:val="24"/>
          <w:szCs w:val="24"/>
        </w:rPr>
        <w:tab/>
        <w:t>Гринчак С.І. (зап)</w:t>
      </w: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BE7094" w:rsidRDefault="00BE7094" w:rsidP="00BE7094">
      <w:pPr>
        <w:autoSpaceDE w:val="0"/>
        <w:autoSpaceDN w:val="0"/>
        <w:adjustRightInd w:val="0"/>
        <w:spacing w:after="165" w:line="360" w:lineRule="auto"/>
        <w:jc w:val="both"/>
        <w:rPr>
          <w:rFonts w:ascii="Times New Roman" w:hAnsi="Times New Roman" w:cs="Times New Roman"/>
          <w:sz w:val="24"/>
          <w:szCs w:val="24"/>
        </w:rPr>
      </w:pPr>
    </w:p>
    <w:p w:rsidR="0052792C" w:rsidRDefault="0052792C"/>
    <w:sectPr w:rsidR="0052792C" w:rsidSect="00C40052">
      <w:pgSz w:w="11906" w:h="16838" w:code="9"/>
      <w:pgMar w:top="850" w:right="850" w:bottom="850" w:left="1417" w:header="680" w:footer="6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C6BE"/>
    <w:multiLevelType w:val="multilevel"/>
    <w:tmpl w:val="101FD625"/>
    <w:lvl w:ilvl="0">
      <w:start w:val="1"/>
      <w:numFmt w:val="decimal"/>
      <w:lvlText w:val="%1."/>
      <w:lvlJc w:val="left"/>
      <w:pPr>
        <w:tabs>
          <w:tab w:val="num" w:pos="135"/>
        </w:tabs>
        <w:ind w:left="135"/>
      </w:pPr>
      <w:rPr>
        <w:rFonts w:ascii="Times New Roman" w:hAnsi="Times New Roman" w:cs="Times New Roman"/>
        <w:sz w:val="24"/>
        <w:szCs w:val="24"/>
      </w:rPr>
    </w:lvl>
    <w:lvl w:ilvl="1">
      <w:start w:val="1"/>
      <w:numFmt w:val="decimal"/>
      <w:lvlText w:val="%2."/>
      <w:lvlJc w:val="left"/>
      <w:pPr>
        <w:tabs>
          <w:tab w:val="num" w:pos="1410"/>
        </w:tabs>
        <w:ind w:left="1410" w:hanging="285"/>
      </w:pPr>
      <w:rPr>
        <w:rFonts w:ascii="Times New Roman" w:hAnsi="Times New Roman" w:cs="Times New Roman"/>
        <w:sz w:val="24"/>
        <w:szCs w:val="24"/>
      </w:rPr>
    </w:lvl>
    <w:lvl w:ilvl="2">
      <w:start w:val="1"/>
      <w:numFmt w:val="decimal"/>
      <w:lvlText w:val="%3."/>
      <w:lvlJc w:val="left"/>
      <w:pPr>
        <w:tabs>
          <w:tab w:val="num" w:pos="2115"/>
        </w:tabs>
        <w:ind w:left="2115" w:hanging="285"/>
      </w:pPr>
      <w:rPr>
        <w:rFonts w:ascii="Times New Roman" w:hAnsi="Times New Roman" w:cs="Times New Roman"/>
        <w:sz w:val="24"/>
        <w:szCs w:val="24"/>
      </w:rPr>
    </w:lvl>
    <w:lvl w:ilvl="3">
      <w:start w:val="1"/>
      <w:numFmt w:val="decimal"/>
      <w:lvlText w:val="%4."/>
      <w:lvlJc w:val="left"/>
      <w:pPr>
        <w:tabs>
          <w:tab w:val="num" w:pos="2835"/>
        </w:tabs>
        <w:ind w:left="2835" w:hanging="285"/>
      </w:pPr>
      <w:rPr>
        <w:rFonts w:ascii="Times New Roman" w:hAnsi="Times New Roman" w:cs="Times New Roman"/>
        <w:sz w:val="24"/>
        <w:szCs w:val="24"/>
      </w:rPr>
    </w:lvl>
    <w:lvl w:ilvl="4">
      <w:start w:val="1"/>
      <w:numFmt w:val="decimal"/>
      <w:lvlText w:val="%5."/>
      <w:lvlJc w:val="left"/>
      <w:pPr>
        <w:tabs>
          <w:tab w:val="num" w:pos="3540"/>
        </w:tabs>
        <w:ind w:left="3540" w:hanging="285"/>
      </w:pPr>
      <w:rPr>
        <w:rFonts w:ascii="Times New Roman" w:hAnsi="Times New Roman" w:cs="Times New Roman"/>
        <w:sz w:val="24"/>
        <w:szCs w:val="24"/>
      </w:rPr>
    </w:lvl>
    <w:lvl w:ilvl="5">
      <w:start w:val="1"/>
      <w:numFmt w:val="decimal"/>
      <w:lvlText w:val="%6."/>
      <w:lvlJc w:val="left"/>
      <w:pPr>
        <w:tabs>
          <w:tab w:val="num" w:pos="4245"/>
        </w:tabs>
        <w:ind w:left="4245" w:hanging="285"/>
      </w:pPr>
      <w:rPr>
        <w:rFonts w:ascii="Times New Roman" w:hAnsi="Times New Roman" w:cs="Times New Roman"/>
        <w:sz w:val="24"/>
        <w:szCs w:val="24"/>
      </w:rPr>
    </w:lvl>
    <w:lvl w:ilvl="6">
      <w:start w:val="1"/>
      <w:numFmt w:val="decimal"/>
      <w:lvlText w:val="%7."/>
      <w:lvlJc w:val="left"/>
      <w:pPr>
        <w:tabs>
          <w:tab w:val="num" w:pos="4950"/>
        </w:tabs>
        <w:ind w:left="4950" w:hanging="285"/>
      </w:pPr>
      <w:rPr>
        <w:rFonts w:ascii="Times New Roman" w:hAnsi="Times New Roman" w:cs="Times New Roman"/>
        <w:sz w:val="24"/>
        <w:szCs w:val="24"/>
      </w:rPr>
    </w:lvl>
    <w:lvl w:ilvl="7">
      <w:start w:val="1"/>
      <w:numFmt w:val="decimal"/>
      <w:lvlText w:val="%8."/>
      <w:lvlJc w:val="left"/>
      <w:pPr>
        <w:tabs>
          <w:tab w:val="num" w:pos="5655"/>
        </w:tabs>
        <w:ind w:left="5655" w:hanging="285"/>
      </w:pPr>
      <w:rPr>
        <w:rFonts w:ascii="Times New Roman" w:hAnsi="Times New Roman" w:cs="Times New Roman"/>
        <w:sz w:val="24"/>
        <w:szCs w:val="24"/>
      </w:rPr>
    </w:lvl>
    <w:lvl w:ilvl="8">
      <w:start w:val="1"/>
      <w:numFmt w:val="decimal"/>
      <w:lvlText w:val="%9."/>
      <w:lvlJc w:val="left"/>
      <w:pPr>
        <w:tabs>
          <w:tab w:val="num" w:pos="6360"/>
        </w:tabs>
        <w:ind w:left="6360" w:hanging="285"/>
      </w:pPr>
      <w:rPr>
        <w:rFonts w:ascii="Times New Roman" w:hAnsi="Times New Roman" w:cs="Times New Roman"/>
        <w:sz w:val="24"/>
        <w:szCs w:val="24"/>
      </w:rPr>
    </w:lvl>
  </w:abstractNum>
  <w:abstractNum w:abstractNumId="1">
    <w:nsid w:val="1FF7EE9D"/>
    <w:multiLevelType w:val="multilevel"/>
    <w:tmpl w:val="05941BB8"/>
    <w:lvl w:ilvl="0">
      <w:numFmt w:val="bullet"/>
      <w:lvlText w:val="-"/>
      <w:lvlJc w:val="left"/>
      <w:pPr>
        <w:tabs>
          <w:tab w:val="num" w:pos="1065"/>
        </w:tabs>
        <w:ind w:firstLine="705"/>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7094"/>
    <w:rsid w:val="0052792C"/>
    <w:rsid w:val="00BE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2771</Words>
  <Characters>15797</Characters>
  <Application>Microsoft Office Word</Application>
  <DocSecurity>0</DocSecurity>
  <Lines>131</Lines>
  <Paragraphs>37</Paragraphs>
  <ScaleCrop>false</ScaleCrop>
  <Company>Microsoft</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2017-09-13T11:23:00Z</dcterms:created>
  <dcterms:modified xsi:type="dcterms:W3CDTF">2017-09-13T11:24:00Z</dcterms:modified>
</cp:coreProperties>
</file>