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8D" w:rsidRPr="0042391A" w:rsidRDefault="0073028D" w:rsidP="0073028D">
      <w:pPr>
        <w:pStyle w:val="a9"/>
        <w:ind w:left="4956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            </w:t>
      </w:r>
      <w:r w:rsidRPr="0042391A">
        <w:rPr>
          <w:rStyle w:val="rvts15"/>
          <w:rFonts w:eastAsiaTheme="majorEastAsia"/>
          <w:szCs w:val="24"/>
          <w:lang w:val="uk-UA"/>
        </w:rPr>
        <w:t>Додаток 1</w:t>
      </w:r>
    </w:p>
    <w:p w:rsidR="0073028D" w:rsidRPr="0042391A" w:rsidRDefault="0073028D" w:rsidP="0073028D">
      <w:pPr>
        <w:pStyle w:val="a9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                                                                                                           </w:t>
      </w:r>
      <w:r w:rsidRPr="0042391A">
        <w:rPr>
          <w:rStyle w:val="rvts15"/>
          <w:rFonts w:eastAsiaTheme="majorEastAsia"/>
          <w:szCs w:val="24"/>
          <w:lang w:val="uk-UA"/>
        </w:rPr>
        <w:t>до Порядку</w:t>
      </w:r>
    </w:p>
    <w:p w:rsidR="0073028D" w:rsidRDefault="0073028D" w:rsidP="0073028D">
      <w:pPr>
        <w:pStyle w:val="a9"/>
        <w:jc w:val="center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  <w:t xml:space="preserve">                               </w:t>
      </w:r>
    </w:p>
    <w:p w:rsidR="0073028D" w:rsidRDefault="0073028D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ЗАТВЕРДЖЕНО</w:t>
      </w:r>
    </w:p>
    <w:p w:rsidR="0073028D" w:rsidRDefault="0073028D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наказом керівника апарату</w:t>
      </w:r>
    </w:p>
    <w:p w:rsidR="0073028D" w:rsidRDefault="0073028D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Шацького районного суду</w:t>
      </w:r>
    </w:p>
    <w:p w:rsidR="0073028D" w:rsidRDefault="0073028D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Волинської області </w:t>
      </w:r>
    </w:p>
    <w:p w:rsidR="0073028D" w:rsidRDefault="0088303E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від 22</w:t>
      </w:r>
      <w:r w:rsidR="0073028D">
        <w:rPr>
          <w:rStyle w:val="rvts15"/>
          <w:rFonts w:eastAsiaTheme="majorEastAsia"/>
          <w:szCs w:val="24"/>
          <w:lang w:val="uk-UA"/>
        </w:rPr>
        <w:t>.05.2018 №</w:t>
      </w:r>
      <w:r>
        <w:rPr>
          <w:rStyle w:val="rvts15"/>
          <w:rFonts w:eastAsiaTheme="majorEastAsia"/>
          <w:szCs w:val="24"/>
          <w:lang w:val="uk-UA"/>
        </w:rPr>
        <w:t>6</w:t>
      </w:r>
      <w:r w:rsidR="0073028D">
        <w:rPr>
          <w:rStyle w:val="rvts15"/>
          <w:rFonts w:eastAsiaTheme="majorEastAsia"/>
          <w:szCs w:val="24"/>
          <w:lang w:val="uk-UA"/>
        </w:rPr>
        <w:t xml:space="preserve">/02-06.2 </w:t>
      </w:r>
    </w:p>
    <w:p w:rsidR="0073028D" w:rsidRPr="0042391A" w:rsidRDefault="0073028D" w:rsidP="0073028D">
      <w:pPr>
        <w:pStyle w:val="a9"/>
        <w:jc w:val="center"/>
        <w:rPr>
          <w:rStyle w:val="rvts15"/>
          <w:rFonts w:eastAsiaTheme="majorEastAsia"/>
          <w:szCs w:val="24"/>
        </w:rPr>
      </w:pPr>
      <w:r w:rsidRPr="0042391A">
        <w:rPr>
          <w:rStyle w:val="rvts15"/>
          <w:rFonts w:eastAsiaTheme="majorEastAsia"/>
          <w:szCs w:val="24"/>
        </w:rPr>
        <w:t xml:space="preserve">УМОВИ </w:t>
      </w:r>
      <w:r w:rsidRPr="0042391A">
        <w:rPr>
          <w:szCs w:val="24"/>
        </w:rPr>
        <w:br/>
      </w:r>
      <w:proofErr w:type="spellStart"/>
      <w:r w:rsidRPr="0042391A">
        <w:rPr>
          <w:rStyle w:val="rvts15"/>
          <w:rFonts w:eastAsiaTheme="majorEastAsia"/>
          <w:szCs w:val="24"/>
        </w:rPr>
        <w:t>проведення</w:t>
      </w:r>
      <w:proofErr w:type="spellEnd"/>
      <w:r w:rsidRPr="0042391A">
        <w:rPr>
          <w:rStyle w:val="rvts15"/>
          <w:rFonts w:eastAsiaTheme="majorEastAsia"/>
          <w:szCs w:val="24"/>
        </w:rPr>
        <w:t xml:space="preserve"> конкурсу</w:t>
      </w:r>
    </w:p>
    <w:p w:rsidR="0073028D" w:rsidRPr="0042391A" w:rsidRDefault="0073028D" w:rsidP="0073028D">
      <w:pPr>
        <w:pStyle w:val="a9"/>
        <w:jc w:val="center"/>
        <w:rPr>
          <w:rStyle w:val="rvts15"/>
          <w:rFonts w:eastAsiaTheme="majorEastAsia"/>
          <w:szCs w:val="24"/>
          <w:lang w:val="uk-UA"/>
        </w:rPr>
      </w:pPr>
      <w:r w:rsidRPr="0042391A">
        <w:rPr>
          <w:rStyle w:val="rvts15"/>
          <w:rFonts w:eastAsiaTheme="majorEastAsia"/>
          <w:szCs w:val="24"/>
        </w:rPr>
        <w:t xml:space="preserve">на </w:t>
      </w:r>
      <w:proofErr w:type="spellStart"/>
      <w:r w:rsidRPr="0042391A">
        <w:rPr>
          <w:rStyle w:val="rvts15"/>
          <w:rFonts w:eastAsiaTheme="majorEastAsia"/>
          <w:szCs w:val="24"/>
        </w:rPr>
        <w:t>зайняття</w:t>
      </w:r>
      <w:proofErr w:type="spellEnd"/>
      <w:r>
        <w:rPr>
          <w:rStyle w:val="rvts15"/>
          <w:rFonts w:eastAsiaTheme="majorEastAsia"/>
          <w:szCs w:val="24"/>
          <w:lang w:val="uk-UA"/>
        </w:rPr>
        <w:t xml:space="preserve"> вакантної </w:t>
      </w:r>
      <w:r w:rsidRPr="0042391A">
        <w:rPr>
          <w:rStyle w:val="rvts15"/>
          <w:rFonts w:eastAsiaTheme="majorEastAsia"/>
          <w:szCs w:val="24"/>
        </w:rPr>
        <w:t xml:space="preserve"> посади </w:t>
      </w:r>
      <w:proofErr w:type="spellStart"/>
      <w:r w:rsidRPr="0042391A">
        <w:rPr>
          <w:rStyle w:val="rvts15"/>
          <w:rFonts w:eastAsiaTheme="majorEastAsia"/>
          <w:szCs w:val="24"/>
        </w:rPr>
        <w:t>державної</w:t>
      </w:r>
      <w:proofErr w:type="spellEnd"/>
      <w:r w:rsidRPr="0042391A">
        <w:rPr>
          <w:rStyle w:val="rvts15"/>
          <w:rFonts w:eastAsiaTheme="majorEastAsia"/>
          <w:szCs w:val="24"/>
        </w:rPr>
        <w:t xml:space="preserve"> </w:t>
      </w:r>
      <w:proofErr w:type="spellStart"/>
      <w:r w:rsidRPr="0042391A">
        <w:rPr>
          <w:rStyle w:val="rvts15"/>
          <w:rFonts w:eastAsiaTheme="majorEastAsia"/>
          <w:szCs w:val="24"/>
        </w:rPr>
        <w:t>служби</w:t>
      </w:r>
      <w:proofErr w:type="spellEnd"/>
      <w:r w:rsidRPr="0042391A">
        <w:rPr>
          <w:rStyle w:val="rvts15"/>
          <w:rFonts w:eastAsiaTheme="majorEastAsia"/>
          <w:szCs w:val="24"/>
        </w:rPr>
        <w:t xml:space="preserve"> </w:t>
      </w:r>
      <w:proofErr w:type="spellStart"/>
      <w:r w:rsidRPr="0042391A">
        <w:rPr>
          <w:rStyle w:val="rvts15"/>
          <w:rFonts w:eastAsiaTheme="majorEastAsia"/>
          <w:szCs w:val="24"/>
        </w:rPr>
        <w:t>категорії</w:t>
      </w:r>
      <w:proofErr w:type="spellEnd"/>
      <w:r w:rsidRPr="0042391A">
        <w:rPr>
          <w:rStyle w:val="rvts15"/>
          <w:rFonts w:eastAsiaTheme="majorEastAsia"/>
          <w:szCs w:val="24"/>
        </w:rPr>
        <w:t xml:space="preserve"> "В"</w:t>
      </w:r>
      <w:r w:rsidRPr="0042391A">
        <w:rPr>
          <w:rStyle w:val="rvts15"/>
          <w:rFonts w:eastAsiaTheme="majorEastAsia"/>
          <w:szCs w:val="24"/>
          <w:lang w:val="uk-UA"/>
        </w:rPr>
        <w:t xml:space="preserve"> -</w:t>
      </w:r>
    </w:p>
    <w:p w:rsidR="0073028D" w:rsidRPr="0042391A" w:rsidRDefault="0088303E" w:rsidP="0073028D">
      <w:pPr>
        <w:pStyle w:val="a9"/>
        <w:jc w:val="center"/>
        <w:rPr>
          <w:rStyle w:val="rvts15"/>
          <w:rFonts w:eastAsiaTheme="majorEastAsia"/>
          <w:szCs w:val="24"/>
        </w:rPr>
      </w:pPr>
      <w:r>
        <w:rPr>
          <w:rStyle w:val="rvts15"/>
          <w:rFonts w:eastAsiaTheme="majorEastAsia"/>
          <w:szCs w:val="24"/>
          <w:lang w:val="uk-UA"/>
        </w:rPr>
        <w:t>секретаря судових засідань</w:t>
      </w:r>
      <w:r w:rsidR="0073028D">
        <w:rPr>
          <w:rStyle w:val="rvts15"/>
          <w:rFonts w:eastAsiaTheme="majorEastAsia"/>
          <w:szCs w:val="24"/>
          <w:lang w:val="uk-UA"/>
        </w:rPr>
        <w:t xml:space="preserve"> Шацького</w:t>
      </w:r>
      <w:r w:rsidR="0073028D" w:rsidRPr="0042391A">
        <w:rPr>
          <w:rStyle w:val="rvts15"/>
          <w:rFonts w:eastAsiaTheme="majorEastAsia"/>
          <w:szCs w:val="24"/>
        </w:rPr>
        <w:t xml:space="preserve"> районного суду </w:t>
      </w:r>
      <w:proofErr w:type="spellStart"/>
      <w:r w:rsidR="0073028D" w:rsidRPr="0042391A">
        <w:rPr>
          <w:rStyle w:val="rvts15"/>
          <w:rFonts w:eastAsiaTheme="majorEastAsia"/>
          <w:szCs w:val="24"/>
        </w:rPr>
        <w:t>Волинської</w:t>
      </w:r>
      <w:proofErr w:type="spellEnd"/>
      <w:r w:rsidR="0073028D" w:rsidRPr="0042391A">
        <w:rPr>
          <w:rStyle w:val="rvts15"/>
          <w:rFonts w:eastAsiaTheme="majorEastAsia"/>
          <w:szCs w:val="24"/>
        </w:rPr>
        <w:t xml:space="preserve"> </w:t>
      </w:r>
      <w:proofErr w:type="spellStart"/>
      <w:r w:rsidR="0073028D" w:rsidRPr="0042391A">
        <w:rPr>
          <w:rStyle w:val="rvts15"/>
          <w:rFonts w:eastAsiaTheme="majorEastAsia"/>
          <w:szCs w:val="24"/>
        </w:rPr>
        <w:t>області</w:t>
      </w:r>
      <w:proofErr w:type="spellEnd"/>
    </w:p>
    <w:p w:rsidR="0073028D" w:rsidRPr="0042391A" w:rsidRDefault="0073028D" w:rsidP="0073028D">
      <w:pPr>
        <w:pStyle w:val="a9"/>
        <w:jc w:val="center"/>
        <w:rPr>
          <w:rStyle w:val="rvts15"/>
          <w:rFonts w:eastAsiaTheme="majorEastAsia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2905"/>
        <w:gridCol w:w="151"/>
        <w:gridCol w:w="5759"/>
      </w:tblGrid>
      <w:tr w:rsidR="0073028D" w:rsidRPr="001C74E4" w:rsidTr="00A215C1">
        <w:tc>
          <w:tcPr>
            <w:tcW w:w="9384" w:type="dxa"/>
            <w:gridSpan w:val="4"/>
            <w:vAlign w:val="center"/>
          </w:tcPr>
          <w:p w:rsidR="0073028D" w:rsidRDefault="0073028D" w:rsidP="00A215C1">
            <w:pPr>
              <w:pStyle w:val="rvps12"/>
              <w:jc w:val="center"/>
            </w:pPr>
            <w:bookmarkStart w:id="0" w:name="n196"/>
            <w:bookmarkEnd w:id="0"/>
            <w:r>
              <w:t>Загальні умови</w:t>
            </w:r>
          </w:p>
        </w:tc>
      </w:tr>
      <w:tr w:rsidR="0073028D" w:rsidRPr="009709DF" w:rsidTr="00A215C1">
        <w:trPr>
          <w:trHeight w:val="259"/>
        </w:trPr>
        <w:tc>
          <w:tcPr>
            <w:tcW w:w="3474" w:type="dxa"/>
            <w:gridSpan w:val="2"/>
            <w:vAlign w:val="center"/>
          </w:tcPr>
          <w:p w:rsidR="0073028D" w:rsidRPr="001360E0" w:rsidRDefault="0073028D" w:rsidP="00A215C1">
            <w:pPr>
              <w:pStyle w:val="rvps14"/>
            </w:pPr>
            <w:r w:rsidRPr="001360E0">
              <w:t>Посадові обов’язки</w:t>
            </w:r>
          </w:p>
        </w:tc>
        <w:tc>
          <w:tcPr>
            <w:tcW w:w="5910" w:type="dxa"/>
            <w:gridSpan w:val="2"/>
          </w:tcPr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lang w:val="uk-UA"/>
              </w:rPr>
            </w:pPr>
            <w:r w:rsidRPr="007811FA">
              <w:rPr>
                <w:lang w:val="uk-UA"/>
              </w:rPr>
              <w:t xml:space="preserve">1. </w:t>
            </w:r>
            <w:r w:rsidR="008361E6" w:rsidRPr="007811FA">
              <w:rPr>
                <w:color w:val="000000"/>
                <w:lang w:val="uk-UA" w:eastAsia="uk-UA"/>
              </w:rPr>
              <w:t xml:space="preserve">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ув'язнення про доставку до суду затриманих та обвинувачених осіб, готує копії відповідних судових рішень.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Здійснює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надсилання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розпорядження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виклик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присяжних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(за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необхідності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),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СМС-повідомлень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у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вигляді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судових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повісток</w:t>
            </w:r>
            <w:proofErr w:type="spellEnd"/>
            <w:r w:rsidR="008361E6" w:rsidRPr="007811FA">
              <w:rPr>
                <w:color w:val="000000"/>
                <w:lang w:val="uk-UA" w:eastAsia="uk-UA"/>
              </w:rPr>
              <w:t>.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-1"/>
                <w:lang w:val="uk-UA"/>
              </w:rPr>
            </w:pPr>
            <w:r w:rsidRPr="007811FA">
              <w:rPr>
                <w:lang w:val="uk-UA"/>
              </w:rPr>
              <w:t xml:space="preserve">2. 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Здійснює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оформлення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та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розміщення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спискі</w:t>
            </w:r>
            <w:proofErr w:type="gramStart"/>
            <w:r w:rsidR="008361E6" w:rsidRPr="007811FA">
              <w:rPr>
                <w:color w:val="000000"/>
                <w:lang w:eastAsia="uk-UA"/>
              </w:rPr>
              <w:t>в</w:t>
            </w:r>
            <w:proofErr w:type="spellEnd"/>
            <w:proofErr w:type="gramEnd"/>
            <w:r w:rsidR="008361E6" w:rsidRPr="007811FA">
              <w:rPr>
                <w:color w:val="000000"/>
                <w:lang w:eastAsia="uk-UA"/>
              </w:rPr>
              <w:t xml:space="preserve"> справ,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призначених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до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розгляду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>. 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 w:rsidRPr="007811FA">
              <w:rPr>
                <w:color w:val="000000"/>
                <w:spacing w:val="-1"/>
                <w:lang w:val="uk-UA"/>
              </w:rPr>
              <w:t xml:space="preserve">3. </w:t>
            </w:r>
            <w:r w:rsidR="008361E6" w:rsidRPr="007811FA">
              <w:rPr>
                <w:color w:val="000000"/>
                <w:lang w:val="uk-UA" w:eastAsia="uk-UA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  <w:r w:rsidR="008361E6" w:rsidRPr="007811FA">
              <w:rPr>
                <w:color w:val="000000"/>
                <w:lang w:eastAsia="uk-UA"/>
              </w:rPr>
              <w:t> 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 w:rsidRPr="007811FA">
              <w:rPr>
                <w:color w:val="000000"/>
                <w:lang w:val="uk-UA"/>
              </w:rPr>
              <w:t xml:space="preserve">4.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Здійснює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перевірку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="008361E6" w:rsidRPr="007811FA">
              <w:rPr>
                <w:color w:val="000000"/>
                <w:lang w:eastAsia="uk-UA"/>
              </w:rPr>
              <w:t>осіб</w:t>
            </w:r>
            <w:proofErr w:type="spellEnd"/>
            <w:proofErr w:type="gramEnd"/>
            <w:r w:rsidR="008361E6" w:rsidRPr="007811FA">
              <w:rPr>
                <w:color w:val="000000"/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які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викликані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в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судове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засідання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та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зазначає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на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повістках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час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перебування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в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суді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>. 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 w:rsidRPr="007811FA">
              <w:rPr>
                <w:color w:val="000000"/>
                <w:spacing w:val="2"/>
                <w:lang w:val="uk-UA"/>
              </w:rPr>
              <w:t xml:space="preserve">5.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Забезпечує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фіксування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процесу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(судового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засідання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) за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допомогою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технічних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засобів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="008361E6" w:rsidRPr="007811FA">
              <w:rPr>
                <w:color w:val="000000"/>
                <w:lang w:eastAsia="uk-UA"/>
              </w:rPr>
              <w:t>в</w:t>
            </w:r>
            <w:proofErr w:type="gramEnd"/>
            <w:r w:rsidR="008361E6" w:rsidRPr="007811FA">
              <w:rPr>
                <w:color w:val="000000"/>
                <w:lang w:eastAsia="uk-UA"/>
              </w:rPr>
              <w:t>ідповідно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до  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Інструкції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порядок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роботи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технічними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засобами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фіксування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процесу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(судового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засідання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),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Інструкції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порядок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роботи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технічними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засобами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відеозапису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ходу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результатів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процесуальних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дій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проведених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у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режимі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відеоконференції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 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під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час 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засідання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(</w:t>
            </w:r>
            <w:proofErr w:type="spellStart"/>
            <w:proofErr w:type="gramStart"/>
            <w:r w:rsidR="008361E6" w:rsidRPr="007811FA">
              <w:rPr>
                <w:color w:val="000000"/>
                <w:lang w:eastAsia="uk-UA"/>
              </w:rPr>
              <w:t>кримінального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>). </w:t>
            </w:r>
            <w:proofErr w:type="gramEnd"/>
          </w:p>
          <w:p w:rsidR="008361E6" w:rsidRDefault="0073028D" w:rsidP="008361E6">
            <w:pPr>
              <w:shd w:val="clear" w:color="auto" w:fill="FFFFFF"/>
              <w:spacing w:line="312" w:lineRule="atLeast"/>
              <w:jc w:val="both"/>
              <w:rPr>
                <w:color w:val="000000"/>
                <w:lang w:val="uk-UA" w:eastAsia="uk-UA"/>
              </w:rPr>
            </w:pPr>
            <w:r w:rsidRPr="007811FA">
              <w:rPr>
                <w:color w:val="000000"/>
                <w:spacing w:val="2"/>
                <w:lang w:val="uk-UA"/>
              </w:rPr>
              <w:t xml:space="preserve">6.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Веде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журнал </w:t>
            </w:r>
            <w:proofErr w:type="gramStart"/>
            <w:r w:rsidR="008361E6" w:rsidRPr="007811FA">
              <w:rPr>
                <w:color w:val="000000"/>
                <w:lang w:eastAsia="uk-UA"/>
              </w:rPr>
              <w:t>судового</w:t>
            </w:r>
            <w:proofErr w:type="gram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засідання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та протокол 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засідання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>. 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b/>
                <w:color w:val="000000"/>
                <w:spacing w:val="2"/>
                <w:lang w:val="uk-UA"/>
              </w:rPr>
            </w:pPr>
            <w:r w:rsidRPr="007811FA">
              <w:rPr>
                <w:color w:val="000000"/>
                <w:spacing w:val="2"/>
                <w:lang w:val="uk-UA"/>
              </w:rPr>
              <w:t xml:space="preserve">7. </w:t>
            </w:r>
            <w:r w:rsidR="008361E6" w:rsidRPr="007811FA">
              <w:rPr>
                <w:color w:val="000000"/>
                <w:lang w:eastAsia="uk-UA"/>
              </w:rPr>
              <w:t xml:space="preserve">В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разі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відсутності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розпорядника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вручає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r w:rsidR="008361E6" w:rsidRPr="007811FA">
              <w:rPr>
                <w:lang w:eastAsia="uk-UA"/>
              </w:rPr>
              <w:t xml:space="preserve">особам, </w:t>
            </w:r>
            <w:proofErr w:type="spellStart"/>
            <w:r w:rsidR="008361E6" w:rsidRPr="007811FA">
              <w:rPr>
                <w:lang w:eastAsia="uk-UA"/>
              </w:rPr>
              <w:t>які</w:t>
            </w:r>
            <w:proofErr w:type="spellEnd"/>
            <w:r w:rsidR="008361E6" w:rsidRPr="007811FA">
              <w:rPr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lang w:eastAsia="uk-UA"/>
              </w:rPr>
              <w:t>беруть</w:t>
            </w:r>
            <w:proofErr w:type="spellEnd"/>
            <w:r w:rsidR="008361E6" w:rsidRPr="007811FA">
              <w:rPr>
                <w:lang w:eastAsia="uk-UA"/>
              </w:rPr>
              <w:t xml:space="preserve"> участь у судовому </w:t>
            </w:r>
            <w:proofErr w:type="spellStart"/>
            <w:r w:rsidR="008361E6" w:rsidRPr="007811FA">
              <w:rPr>
                <w:lang w:eastAsia="uk-UA"/>
              </w:rPr>
              <w:t>розгляді</w:t>
            </w:r>
            <w:proofErr w:type="spellEnd"/>
            <w:r w:rsidR="008361E6" w:rsidRPr="007811FA">
              <w:rPr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lang w:eastAsia="uk-UA"/>
              </w:rPr>
              <w:t>пам’ятку</w:t>
            </w:r>
            <w:proofErr w:type="spellEnd"/>
            <w:r w:rsidR="008361E6" w:rsidRPr="007811FA">
              <w:rPr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lang w:eastAsia="uk-UA"/>
              </w:rPr>
              <w:t>їхні</w:t>
            </w:r>
            <w:proofErr w:type="spellEnd"/>
            <w:r w:rsidR="008361E6" w:rsidRPr="007811FA">
              <w:rPr>
                <w:lang w:eastAsia="uk-UA"/>
              </w:rPr>
              <w:t xml:space="preserve"> права та </w:t>
            </w:r>
            <w:proofErr w:type="spellStart"/>
            <w:r w:rsidR="008361E6" w:rsidRPr="007811FA">
              <w:rPr>
                <w:lang w:eastAsia="uk-UA"/>
              </w:rPr>
              <w:t>обов’язки</w:t>
            </w:r>
            <w:proofErr w:type="spellEnd"/>
            <w:r w:rsidR="008361E6" w:rsidRPr="007811FA">
              <w:rPr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lang w:eastAsia="uk-UA"/>
              </w:rPr>
              <w:t>передбачені</w:t>
            </w:r>
            <w:proofErr w:type="spellEnd"/>
            <w:r w:rsidR="008361E6" w:rsidRPr="007811FA">
              <w:rPr>
                <w:lang w:eastAsia="uk-UA"/>
              </w:rPr>
              <w:t xml:space="preserve"> КПК </w:t>
            </w:r>
            <w:proofErr w:type="spellStart"/>
            <w:r w:rsidR="008361E6" w:rsidRPr="007811FA">
              <w:rPr>
                <w:lang w:eastAsia="uk-UA"/>
              </w:rPr>
              <w:t>України</w:t>
            </w:r>
            <w:proofErr w:type="spellEnd"/>
            <w:r w:rsidR="008361E6" w:rsidRPr="007811FA">
              <w:rPr>
                <w:lang w:eastAsia="uk-UA"/>
              </w:rPr>
              <w:t xml:space="preserve"> </w:t>
            </w:r>
            <w:r w:rsidR="00A31082">
              <w:rPr>
                <w:lang w:val="uk-UA" w:eastAsia="uk-UA"/>
              </w:rPr>
              <w:t>,</w:t>
            </w:r>
            <w:r w:rsidR="008361E6" w:rsidRPr="007811FA">
              <w:rPr>
                <w:lang w:eastAsia="uk-UA"/>
              </w:rPr>
              <w:t xml:space="preserve"> а </w:t>
            </w:r>
            <w:proofErr w:type="spellStart"/>
            <w:r w:rsidR="008361E6" w:rsidRPr="007811FA">
              <w:rPr>
                <w:lang w:eastAsia="uk-UA"/>
              </w:rPr>
              <w:t>також</w:t>
            </w:r>
            <w:proofErr w:type="spellEnd"/>
            <w:r w:rsidR="008361E6" w:rsidRPr="007811FA">
              <w:rPr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>відповідно</w:t>
            </w:r>
            <w:proofErr w:type="spellEnd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 xml:space="preserve"> до КАС </w:t>
            </w:r>
            <w:proofErr w:type="spellStart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>України</w:t>
            </w:r>
            <w:proofErr w:type="spellEnd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 xml:space="preserve">  </w:t>
            </w:r>
            <w:proofErr w:type="spellStart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>виконує</w:t>
            </w:r>
            <w:proofErr w:type="spellEnd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 xml:space="preserve"> </w:t>
            </w:r>
            <w:proofErr w:type="spellStart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>функції</w:t>
            </w:r>
            <w:proofErr w:type="spellEnd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 xml:space="preserve"> судового </w:t>
            </w:r>
            <w:proofErr w:type="spellStart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>розпорядника</w:t>
            </w:r>
            <w:proofErr w:type="spellEnd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 xml:space="preserve">, </w:t>
            </w:r>
            <w:proofErr w:type="spellStart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>якщо</w:t>
            </w:r>
            <w:proofErr w:type="spellEnd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 xml:space="preserve"> </w:t>
            </w:r>
            <w:proofErr w:type="spellStart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>останнього</w:t>
            </w:r>
            <w:proofErr w:type="spellEnd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 xml:space="preserve"> не залучено до </w:t>
            </w:r>
            <w:proofErr w:type="spellStart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>участі</w:t>
            </w:r>
            <w:proofErr w:type="spellEnd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 xml:space="preserve"> у судовому </w:t>
            </w:r>
            <w:proofErr w:type="spellStart"/>
            <w:r w:rsidR="008361E6" w:rsidRPr="007811FA">
              <w:rPr>
                <w:rStyle w:val="a8"/>
                <w:rFonts w:ascii="Times New Roman" w:eastAsiaTheme="majorEastAsia" w:hAnsi="Times New Roman"/>
                <w:b w:val="0"/>
                <w:i w:val="0"/>
                <w:iCs w:val="0"/>
              </w:rPr>
              <w:t>засіданні</w:t>
            </w:r>
            <w:proofErr w:type="spellEnd"/>
            <w:r w:rsidR="008361E6" w:rsidRPr="007811FA">
              <w:rPr>
                <w:b/>
                <w:spacing w:val="2"/>
                <w:lang w:val="uk-UA"/>
              </w:rPr>
              <w:t>.</w:t>
            </w:r>
          </w:p>
          <w:p w:rsidR="008361E6" w:rsidRPr="007811FA" w:rsidRDefault="0073028D" w:rsidP="007811FA">
            <w:pPr>
              <w:shd w:val="clear" w:color="auto" w:fill="FFFFFF"/>
              <w:spacing w:line="312" w:lineRule="atLeast"/>
              <w:jc w:val="both"/>
              <w:rPr>
                <w:color w:val="000000"/>
                <w:lang w:eastAsia="uk-UA"/>
              </w:rPr>
            </w:pPr>
            <w:r w:rsidRPr="007811FA">
              <w:rPr>
                <w:color w:val="000000"/>
                <w:spacing w:val="2"/>
                <w:lang w:val="uk-UA"/>
              </w:rPr>
              <w:t xml:space="preserve">8. </w:t>
            </w:r>
            <w:r w:rsidR="008361E6" w:rsidRPr="007811FA">
              <w:rPr>
                <w:color w:val="000000"/>
                <w:lang w:eastAsia="uk-UA"/>
              </w:rPr>
              <w:t xml:space="preserve">За результатами </w:t>
            </w:r>
            <w:proofErr w:type="spellStart"/>
            <w:proofErr w:type="gramStart"/>
            <w:r w:rsidR="008361E6" w:rsidRPr="007811FA">
              <w:rPr>
                <w:color w:val="000000"/>
                <w:lang w:eastAsia="uk-UA"/>
              </w:rPr>
              <w:t>п</w:t>
            </w:r>
            <w:proofErr w:type="gramEnd"/>
            <w:r w:rsidR="008361E6" w:rsidRPr="007811FA">
              <w:rPr>
                <w:color w:val="000000"/>
                <w:lang w:eastAsia="uk-UA"/>
              </w:rPr>
              <w:t>ідготовчого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засідання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у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кримінальному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здійснює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: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надсилання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розпорядження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виклик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присяжних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(за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необхідність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);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викликає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учасників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та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інших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осіб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які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мають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бути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присутніми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при судовому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розгляді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;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оформляє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та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надсилає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повідомлення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виклик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захисника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перекладача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; для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відома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та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виконання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копії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ухвал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накладення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арешту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на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майно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обвинуваченого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lastRenderedPageBreak/>
              <w:t>зміну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запобіжного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заходу; до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органів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внутрішніх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справ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надсилає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копії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ухвал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ухилення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обвинуваченого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від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суду та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оголошення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його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розшуку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;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надсилає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учасникам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судового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повідомлення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gramStart"/>
            <w:r w:rsidR="008361E6" w:rsidRPr="007811FA">
              <w:rPr>
                <w:color w:val="000000"/>
                <w:lang w:eastAsia="uk-UA"/>
              </w:rPr>
              <w:t>про</w:t>
            </w:r>
            <w:proofErr w:type="gram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зупинення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у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справі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;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</w:t>
            </w:r>
            <w:proofErr w:type="gramStart"/>
            <w:r w:rsidR="008361E6" w:rsidRPr="007811FA">
              <w:rPr>
                <w:color w:val="000000"/>
                <w:lang w:eastAsia="uk-UA"/>
              </w:rPr>
              <w:t>нформує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сторони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та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інших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учасників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кримінального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звернення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до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апеляційної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інстанції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поданням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для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вирішення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питання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направлення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кримінального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одного суду до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іншого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повідомляє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адміністрацію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місця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ув’язнення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обвинуваченого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 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перерахування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його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за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відповідним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судом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апеляційної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інстанції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>;</w:t>
            </w:r>
            <w:proofErr w:type="gram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невідкладно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вручає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(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направля</w:t>
            </w:r>
            <w:proofErr w:type="gramStart"/>
            <w:r w:rsidR="008361E6" w:rsidRPr="007811FA">
              <w:rPr>
                <w:color w:val="000000"/>
                <w:lang w:eastAsia="uk-UA"/>
              </w:rPr>
              <w:t>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>)</w:t>
            </w:r>
            <w:proofErr w:type="gram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копії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ухвал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учасникам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кримінального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повернення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прокурору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обвинувального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акту,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клопотання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застосування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примусових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заходів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медичного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або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виховного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характеру,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закриття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кримінального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відмову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в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затвердженні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угоди,  а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також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копію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вироку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яким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затверджено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угоду.    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 w:rsidRPr="007811FA">
              <w:rPr>
                <w:color w:val="000000"/>
                <w:spacing w:val="2"/>
                <w:lang w:val="uk-UA"/>
              </w:rPr>
              <w:t xml:space="preserve">9.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Здійснює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внесення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інформації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про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рух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судових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справ та </w:t>
            </w:r>
            <w:proofErr w:type="spellStart"/>
            <w:proofErr w:type="gramStart"/>
            <w:r w:rsidR="008361E6" w:rsidRPr="007811FA">
              <w:rPr>
                <w:color w:val="000000"/>
                <w:lang w:eastAsia="uk-UA"/>
              </w:rPr>
              <w:t>матер</w:t>
            </w:r>
            <w:proofErr w:type="gramEnd"/>
            <w:r w:rsidR="008361E6" w:rsidRPr="007811FA">
              <w:rPr>
                <w:color w:val="000000"/>
                <w:lang w:eastAsia="uk-UA"/>
              </w:rPr>
              <w:t>іалів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кримінальних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проваджень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,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що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перебувають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у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провадженні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відповідного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судді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не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розглянуті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 xml:space="preserve"> по </w:t>
            </w:r>
            <w:proofErr w:type="spellStart"/>
            <w:r w:rsidR="008361E6" w:rsidRPr="007811FA">
              <w:rPr>
                <w:color w:val="000000"/>
                <w:lang w:eastAsia="uk-UA"/>
              </w:rPr>
              <w:t>суті</w:t>
            </w:r>
            <w:proofErr w:type="spellEnd"/>
            <w:r w:rsidR="008361E6" w:rsidRPr="007811FA">
              <w:rPr>
                <w:color w:val="000000"/>
                <w:lang w:eastAsia="uk-UA"/>
              </w:rPr>
              <w:t>, до КП «Д-3».    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 w:rsidRPr="007811FA">
              <w:rPr>
                <w:color w:val="000000"/>
                <w:spacing w:val="2"/>
                <w:lang w:val="uk-UA"/>
              </w:rPr>
              <w:t xml:space="preserve">10.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Виготовляє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копії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судових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="007811FA" w:rsidRPr="007811FA">
              <w:rPr>
                <w:color w:val="000000"/>
                <w:lang w:eastAsia="uk-UA"/>
              </w:rPr>
              <w:t>р</w:t>
            </w:r>
            <w:proofErr w:type="gramEnd"/>
            <w:r w:rsidR="007811FA" w:rsidRPr="007811FA">
              <w:rPr>
                <w:color w:val="000000"/>
                <w:lang w:eastAsia="uk-UA"/>
              </w:rPr>
              <w:t>ішень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у справах,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які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знаходяться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в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провадженні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судді</w:t>
            </w:r>
            <w:proofErr w:type="spellEnd"/>
            <w:r w:rsidR="007811FA" w:rsidRPr="007811FA">
              <w:rPr>
                <w:color w:val="000000"/>
                <w:lang w:eastAsia="uk-UA"/>
              </w:rPr>
              <w:t>. </w:t>
            </w:r>
          </w:p>
          <w:p w:rsidR="007811FA" w:rsidRPr="007811FA" w:rsidRDefault="0073028D" w:rsidP="007811FA">
            <w:pPr>
              <w:pStyle w:val="Standard"/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uk-UA"/>
              </w:rPr>
            </w:pPr>
            <w:r w:rsidRPr="007811F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11.</w:t>
            </w:r>
            <w:r w:rsidR="007811FA" w:rsidRPr="00781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11FA" w:rsidRPr="007811F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</w:t>
            </w:r>
            <w:r w:rsidR="001A55F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 w:rsidRPr="007811FA">
              <w:rPr>
                <w:color w:val="000000"/>
                <w:spacing w:val="2"/>
                <w:lang w:val="uk-UA"/>
              </w:rPr>
              <w:t xml:space="preserve">12.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Здійснює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оформлення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для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направлення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копій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судових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="007811FA" w:rsidRPr="007811FA">
              <w:rPr>
                <w:color w:val="000000"/>
                <w:lang w:eastAsia="uk-UA"/>
              </w:rPr>
              <w:t>р</w:t>
            </w:r>
            <w:proofErr w:type="gramEnd"/>
            <w:r w:rsidR="007811FA" w:rsidRPr="007811FA">
              <w:rPr>
                <w:color w:val="000000"/>
                <w:lang w:eastAsia="uk-UA"/>
              </w:rPr>
              <w:t>ішень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сторонам та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іншим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особам,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які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беруть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участь у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справі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й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фактично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не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були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присутніми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в судовому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засіданні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при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розгляді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справи</w:t>
            </w:r>
            <w:proofErr w:type="spellEnd"/>
            <w:r w:rsidR="007811FA" w:rsidRPr="007811FA">
              <w:rPr>
                <w:color w:val="000000"/>
                <w:lang w:eastAsia="uk-UA"/>
              </w:rPr>
              <w:t>. 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 w:eastAsia="uk-UA"/>
              </w:rPr>
            </w:pPr>
            <w:r w:rsidRPr="007811FA">
              <w:rPr>
                <w:color w:val="000000"/>
                <w:lang w:val="uk-UA"/>
              </w:rPr>
              <w:t xml:space="preserve">13.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Готує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виконавчі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листи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gramStart"/>
            <w:r w:rsidR="007811FA" w:rsidRPr="007811FA">
              <w:rPr>
                <w:color w:val="000000"/>
                <w:lang w:eastAsia="uk-UA"/>
              </w:rPr>
              <w:t>у</w:t>
            </w:r>
            <w:proofErr w:type="gramEnd"/>
            <w:r w:rsidR="007811FA" w:rsidRPr="007811FA">
              <w:rPr>
                <w:color w:val="000000"/>
                <w:lang w:eastAsia="uk-UA"/>
              </w:rPr>
              <w:t xml:space="preserve"> справах, за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якими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передбачено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негайне</w:t>
            </w:r>
            <w:proofErr w:type="spellEnd"/>
            <w:r w:rsidR="007811FA" w:rsidRPr="007811FA">
              <w:rPr>
                <w:color w:val="000000"/>
                <w:lang w:eastAsia="uk-UA"/>
              </w:rPr>
              <w:t xml:space="preserve"> </w:t>
            </w:r>
            <w:proofErr w:type="spellStart"/>
            <w:r w:rsidR="007811FA" w:rsidRPr="007811FA">
              <w:rPr>
                <w:color w:val="000000"/>
                <w:lang w:eastAsia="uk-UA"/>
              </w:rPr>
              <w:t>виконання</w:t>
            </w:r>
            <w:proofErr w:type="spellEnd"/>
            <w:r w:rsidR="007811FA" w:rsidRPr="007811FA">
              <w:rPr>
                <w:color w:val="000000"/>
                <w:lang w:eastAsia="uk-UA"/>
              </w:rPr>
              <w:t>. </w:t>
            </w:r>
          </w:p>
          <w:p w:rsidR="00CF60FC" w:rsidRPr="00CF60FC" w:rsidRDefault="00CF60FC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 w:eastAsia="uk-UA"/>
              </w:rPr>
              <w:t>14. Здійснює поточний контроль якості звуку і відео та контроль працездатності технічних засобів відеозапису шляхом спостереження за їх роботою відео конференції.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-3"/>
                <w:lang w:val="uk-UA"/>
              </w:rPr>
            </w:pPr>
            <w:r w:rsidRPr="007811FA">
              <w:rPr>
                <w:color w:val="000000"/>
                <w:lang w:val="uk-UA"/>
              </w:rPr>
              <w:t>1</w:t>
            </w:r>
            <w:r w:rsidR="00CF60FC">
              <w:rPr>
                <w:color w:val="000000"/>
                <w:lang w:val="uk-UA"/>
              </w:rPr>
              <w:t>5</w:t>
            </w:r>
            <w:r w:rsidRPr="007811FA">
              <w:rPr>
                <w:color w:val="000000"/>
                <w:lang w:val="uk-UA"/>
              </w:rPr>
              <w:t xml:space="preserve">. </w:t>
            </w:r>
            <w:r w:rsidR="007811FA" w:rsidRPr="007811FA">
              <w:rPr>
                <w:color w:val="000000"/>
                <w:lang w:val="uk-UA" w:eastAsia="uk-UA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 w:rsidRPr="007811FA">
              <w:rPr>
                <w:color w:val="000000"/>
                <w:spacing w:val="-3"/>
                <w:lang w:val="uk-UA"/>
              </w:rPr>
              <w:t>1</w:t>
            </w:r>
            <w:r w:rsidR="00CF60FC">
              <w:rPr>
                <w:color w:val="000000"/>
                <w:spacing w:val="-3"/>
                <w:lang w:val="uk-UA"/>
              </w:rPr>
              <w:t>6</w:t>
            </w:r>
            <w:r w:rsidRPr="007811FA">
              <w:rPr>
                <w:color w:val="000000"/>
                <w:spacing w:val="-3"/>
                <w:lang w:val="uk-UA"/>
              </w:rPr>
              <w:t xml:space="preserve">. </w:t>
            </w:r>
            <w:r w:rsidR="007811FA" w:rsidRPr="007811FA">
              <w:rPr>
                <w:color w:val="000000"/>
                <w:lang w:val="uk-UA" w:eastAsia="uk-UA"/>
              </w:rPr>
              <w:t>Відповідно до наказу керівника апарату виконує обов'язки інших секретарів судового засідання, у разі їх відсутності в зв'язку з відпусткою, хворобою чи іншими причинами.</w:t>
            </w:r>
          </w:p>
          <w:p w:rsidR="0073028D" w:rsidRPr="007811FA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 w:rsidRPr="007811FA">
              <w:rPr>
                <w:color w:val="000000"/>
                <w:lang w:val="uk-UA"/>
              </w:rPr>
              <w:t>1</w:t>
            </w:r>
            <w:r w:rsidR="00CF60FC">
              <w:rPr>
                <w:color w:val="000000"/>
                <w:lang w:val="uk-UA"/>
              </w:rPr>
              <w:t>7</w:t>
            </w:r>
            <w:r w:rsidRPr="007811FA">
              <w:rPr>
                <w:color w:val="000000"/>
                <w:lang w:val="uk-UA"/>
              </w:rPr>
              <w:t xml:space="preserve">. </w:t>
            </w:r>
            <w:r w:rsidR="007811FA" w:rsidRPr="007811FA">
              <w:rPr>
                <w:color w:val="000000"/>
                <w:lang w:val="uk-UA" w:eastAsia="uk-UA"/>
              </w:rPr>
              <w:t>Виконує інші доручення судді, керівника апарату суду, заступника керівника апарату, координує свою роботу з помічником судді щодо  організації розгляду судових справ.</w:t>
            </w:r>
          </w:p>
          <w:p w:rsidR="0073028D" w:rsidRPr="001360E0" w:rsidRDefault="007811FA" w:rsidP="00CF60FC">
            <w:pPr>
              <w:pStyle w:val="af4"/>
              <w:tabs>
                <w:tab w:val="left" w:pos="-72"/>
                <w:tab w:val="left" w:pos="0"/>
                <w:tab w:val="left" w:pos="70"/>
                <w:tab w:val="left" w:pos="354"/>
                <w:tab w:val="left" w:pos="637"/>
              </w:tabs>
              <w:spacing w:before="0" w:beforeAutospacing="0" w:after="0" w:afterAutospacing="0"/>
              <w:jc w:val="both"/>
            </w:pPr>
            <w:r w:rsidRPr="007811FA">
              <w:rPr>
                <w:spacing w:val="1"/>
              </w:rPr>
              <w:t>1</w:t>
            </w:r>
            <w:r w:rsidR="00CF60FC">
              <w:rPr>
                <w:spacing w:val="1"/>
              </w:rPr>
              <w:t>8</w:t>
            </w:r>
            <w:r w:rsidRPr="007811FA">
              <w:rPr>
                <w:spacing w:val="1"/>
              </w:rPr>
              <w:t xml:space="preserve">. </w:t>
            </w:r>
            <w:r w:rsidR="0073028D" w:rsidRPr="007811FA">
              <w:rPr>
                <w:spacing w:val="-2"/>
              </w:rPr>
              <w:t>Виконує Правила внутрішнього службового, трудового розпорядку суду та Правила поведінки працівника суду.</w:t>
            </w:r>
          </w:p>
        </w:tc>
      </w:tr>
      <w:tr w:rsidR="0073028D" w:rsidRPr="00DA4DA2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  <w:spacing w:before="0" w:beforeAutospacing="0" w:after="0" w:afterAutospacing="0"/>
            </w:pPr>
            <w:r>
              <w:t xml:space="preserve">- Посадовий оклад – 3500 грн.; </w:t>
            </w:r>
          </w:p>
          <w:p w:rsidR="0073028D" w:rsidRDefault="0073028D" w:rsidP="00A215C1">
            <w:pPr>
              <w:pStyle w:val="rvps14"/>
              <w:spacing w:before="0" w:beforeAutospacing="0" w:after="0" w:afterAutospacing="0"/>
            </w:pPr>
            <w:r>
              <w:t>- Надбавка за вислугу років;</w:t>
            </w:r>
          </w:p>
          <w:p w:rsidR="0073028D" w:rsidRDefault="0073028D" w:rsidP="00A215C1">
            <w:pPr>
              <w:pStyle w:val="rvps14"/>
              <w:spacing w:before="0" w:beforeAutospacing="0" w:after="0" w:afterAutospacing="0"/>
            </w:pPr>
            <w:r>
              <w:lastRenderedPageBreak/>
              <w:t>- Надбавка за ранг державного службовця;</w:t>
            </w:r>
          </w:p>
          <w:p w:rsidR="0073028D" w:rsidRDefault="0073028D" w:rsidP="00A215C1">
            <w:pPr>
              <w:pStyle w:val="rvps14"/>
              <w:spacing w:before="0" w:beforeAutospacing="0" w:after="0" w:afterAutospacing="0"/>
            </w:pPr>
            <w:r>
              <w:t>- Премія (у разі встановлення).</w:t>
            </w:r>
          </w:p>
        </w:tc>
      </w:tr>
      <w:tr w:rsidR="0073028D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10" w:type="dxa"/>
            <w:gridSpan w:val="2"/>
          </w:tcPr>
          <w:p w:rsidR="0073028D" w:rsidRPr="00DA4DA2" w:rsidRDefault="0073028D" w:rsidP="0088303E">
            <w:pPr>
              <w:pStyle w:val="rvps14"/>
              <w:spacing w:before="0" w:beforeAutospacing="0" w:after="0" w:afterAutospacing="0"/>
            </w:pPr>
            <w:proofErr w:type="spellStart"/>
            <w:r>
              <w:t>Строково</w:t>
            </w:r>
            <w:proofErr w:type="spellEnd"/>
            <w:r>
              <w:t xml:space="preserve">, на період перебування основного працівника у відпустці для догляду за дитиною до досягнення нею трирічного віку до </w:t>
            </w:r>
            <w:r w:rsidR="0088303E">
              <w:t>01.07.2019</w:t>
            </w:r>
            <w:r>
              <w:t xml:space="preserve"> року  </w:t>
            </w:r>
          </w:p>
        </w:tc>
      </w:tr>
      <w:tr w:rsidR="0073028D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5910" w:type="dxa"/>
            <w:gridSpan w:val="2"/>
          </w:tcPr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30455E">
              <w:t>1</w:t>
            </w:r>
            <w:r w:rsidRPr="00726516">
              <w:rPr>
                <w:rFonts w:eastAsia="Calibri"/>
                <w:lang w:val="uk-UA"/>
              </w:rPr>
              <w:t>) копія паспорта громадянина України;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726516">
                <w:rPr>
                  <w:rFonts w:eastAsia="Calibri"/>
                  <w:lang w:val="uk-UA"/>
                </w:rPr>
                <w:t>частиною третьою</w:t>
              </w:r>
            </w:hyperlink>
            <w:r w:rsidRPr="00726516">
              <w:rPr>
                <w:rFonts w:eastAsia="Calibri"/>
                <w:lang w:val="uk-UA"/>
              </w:rPr>
              <w:t xml:space="preserve"> або </w:t>
            </w:r>
            <w:hyperlink r:id="rId6" w:anchor="n14" w:tgtFrame="_blank" w:history="1">
              <w:r w:rsidRPr="00726516">
                <w:rPr>
                  <w:rFonts w:eastAsia="Calibri"/>
                  <w:lang w:val="uk-UA"/>
                </w:rPr>
                <w:t>четвертою</w:t>
              </w:r>
            </w:hyperlink>
            <w:r w:rsidRPr="00726516">
              <w:rPr>
                <w:rFonts w:eastAsia="Calibri"/>
                <w:lang w:val="uk-UA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>4) копія (копії) документа (документів) про освіту;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>5) посвідчення атестації щодо вільного володіння державною мовою;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>6) заповнена особова картка встановленого зразка;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 xml:space="preserve">7) </w:t>
            </w:r>
            <w:r w:rsidRPr="00682393">
              <w:rPr>
                <w:color w:val="000000"/>
                <w:lang w:val="uk-UA" w:eastAsia="uk-UA"/>
              </w:rPr>
              <w:t>декларацію особи, уповноваженої на виконання функцій держави або місцевого самоврядування, за минулий рік.(за 2017 рік, примірник роздрукований із сайту Національного агентства з питань запобігання корупції).</w:t>
            </w:r>
          </w:p>
          <w:p w:rsidR="0073028D" w:rsidRPr="00682393" w:rsidRDefault="0073028D" w:rsidP="00A215C1">
            <w:pPr>
              <w:shd w:val="clear" w:color="auto" w:fill="FFFFFF"/>
              <w:ind w:firstLine="450"/>
              <w:jc w:val="both"/>
              <w:rPr>
                <w:color w:val="000000"/>
                <w:lang w:val="uk-UA" w:eastAsia="uk-UA"/>
              </w:rPr>
            </w:pPr>
            <w:r w:rsidRPr="00682393">
              <w:rPr>
                <w:color w:val="000000"/>
                <w:lang w:val="uk-UA" w:eastAsia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73028D" w:rsidRPr="00682393" w:rsidRDefault="0073028D" w:rsidP="00A215C1">
            <w:pPr>
              <w:shd w:val="clear" w:color="auto" w:fill="FFFFFF"/>
              <w:ind w:firstLine="450"/>
              <w:jc w:val="both"/>
              <w:rPr>
                <w:color w:val="000000"/>
                <w:lang w:val="uk-UA" w:eastAsia="uk-UA"/>
              </w:rPr>
            </w:pPr>
            <w:bookmarkStart w:id="1" w:name="n363"/>
            <w:bookmarkEnd w:id="1"/>
            <w:r w:rsidRPr="00682393">
              <w:rPr>
                <w:color w:val="000000"/>
                <w:lang w:val="uk-UA"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73028D" w:rsidRPr="007901CF" w:rsidRDefault="0073028D" w:rsidP="00A215C1">
            <w:pPr>
              <w:pStyle w:val="a9"/>
              <w:rPr>
                <w:szCs w:val="24"/>
                <w:lang w:val="uk-UA"/>
              </w:rPr>
            </w:pPr>
          </w:p>
          <w:p w:rsidR="0073028D" w:rsidRPr="00617F51" w:rsidRDefault="0073028D" w:rsidP="00A215C1">
            <w:pPr>
              <w:pStyle w:val="rvps2"/>
              <w:spacing w:before="0" w:beforeAutospacing="0" w:after="0" w:afterAutospacing="0"/>
              <w:ind w:firstLine="212"/>
              <w:jc w:val="both"/>
            </w:pPr>
            <w:r w:rsidRPr="00617F51">
              <w:t xml:space="preserve">Строк подання документів: до </w:t>
            </w:r>
            <w:r>
              <w:t>0</w:t>
            </w:r>
            <w:r w:rsidR="0088303E">
              <w:t>7</w:t>
            </w:r>
            <w:r>
              <w:t xml:space="preserve"> червня 2018</w:t>
            </w:r>
            <w:r w:rsidRPr="00617F51">
              <w:t xml:space="preserve"> року</w:t>
            </w:r>
            <w:r>
              <w:t xml:space="preserve"> включно.</w:t>
            </w:r>
          </w:p>
          <w:p w:rsidR="0073028D" w:rsidRDefault="0073028D" w:rsidP="00A215C1">
            <w:pPr>
              <w:pStyle w:val="rvps2"/>
              <w:spacing w:before="0" w:beforeAutospacing="0" w:after="0" w:afterAutospacing="0"/>
              <w:ind w:firstLine="212"/>
              <w:jc w:val="both"/>
            </w:pPr>
            <w:r w:rsidRPr="00617F51">
              <w:t>Документи приймаються згідно графіку роботи суду.</w:t>
            </w:r>
          </w:p>
        </w:tc>
      </w:tr>
      <w:tr w:rsidR="0073028D" w:rsidRPr="00A64C6A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t>Місце, час та дата початку проведення конкурсу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  <w:spacing w:before="0" w:beforeAutospacing="0" w:after="0" w:afterAutospacing="0"/>
              <w:ind w:firstLine="212"/>
              <w:jc w:val="both"/>
            </w:pPr>
            <w:r>
              <w:t xml:space="preserve">44000, Волинська область, </w:t>
            </w:r>
          </w:p>
          <w:p w:rsidR="0073028D" w:rsidRPr="00A64C6A" w:rsidRDefault="0073028D" w:rsidP="00A215C1">
            <w:pPr>
              <w:pStyle w:val="rvps14"/>
              <w:spacing w:before="0" w:beforeAutospacing="0" w:after="0" w:afterAutospacing="0"/>
              <w:ind w:firstLine="212"/>
              <w:jc w:val="both"/>
              <w:rPr>
                <w:lang w:val="ru-RU"/>
              </w:rPr>
            </w:pPr>
            <w:proofErr w:type="spellStart"/>
            <w:r>
              <w:t>смт</w:t>
            </w:r>
            <w:proofErr w:type="spellEnd"/>
            <w:r>
              <w:t>. Шацьк</w:t>
            </w:r>
            <w:r w:rsidRPr="00A64C6A">
              <w:rPr>
                <w:lang w:val="ru-RU"/>
              </w:rPr>
              <w:t>,</w:t>
            </w:r>
            <w:r>
              <w:t xml:space="preserve"> вул. 50 років Перемоги, 6 б</w:t>
            </w:r>
            <w:r w:rsidRPr="00A64C6A">
              <w:rPr>
                <w:lang w:val="ru-RU"/>
              </w:rPr>
              <w:t xml:space="preserve"> </w:t>
            </w:r>
          </w:p>
          <w:p w:rsidR="0073028D" w:rsidRPr="00352F3F" w:rsidRDefault="0073028D" w:rsidP="0088303E">
            <w:pPr>
              <w:pStyle w:val="rvps14"/>
              <w:spacing w:before="0" w:beforeAutospacing="0" w:after="0" w:afterAutospacing="0"/>
              <w:ind w:firstLine="212"/>
              <w:jc w:val="both"/>
            </w:pPr>
            <w:r w:rsidRPr="00A64C6A">
              <w:rPr>
                <w:lang w:val="ru-RU"/>
              </w:rPr>
              <w:t xml:space="preserve">10 </w:t>
            </w:r>
            <w:r>
              <w:t>год. 00 хв.,</w:t>
            </w:r>
            <w:r w:rsidRPr="00352F3F">
              <w:t xml:space="preserve"> </w:t>
            </w:r>
            <w:r>
              <w:t>1</w:t>
            </w:r>
            <w:r w:rsidR="0088303E">
              <w:t>4</w:t>
            </w:r>
            <w:r>
              <w:t xml:space="preserve"> червня 2018 року </w:t>
            </w:r>
          </w:p>
        </w:tc>
      </w:tr>
      <w:tr w:rsidR="0073028D" w:rsidRPr="0073028D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  <w:spacing w:before="0" w:beforeAutospacing="0" w:after="0" w:afterAutospacing="0"/>
              <w:jc w:val="both"/>
            </w:pPr>
            <w:r>
              <w:t>Устенко Оксана Євгенівна</w:t>
            </w:r>
          </w:p>
          <w:p w:rsidR="0073028D" w:rsidRDefault="0073028D" w:rsidP="00A215C1">
            <w:pPr>
              <w:pStyle w:val="rvps14"/>
              <w:spacing w:before="0" w:beforeAutospacing="0" w:after="0" w:afterAutospacing="0"/>
              <w:jc w:val="both"/>
            </w:pPr>
            <w:r>
              <w:t>тел. (03355) 20 991</w:t>
            </w:r>
          </w:p>
          <w:p w:rsidR="0073028D" w:rsidRPr="007711E8" w:rsidRDefault="0073028D" w:rsidP="00A215C1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 w:rsidRPr="007711E8">
              <w:rPr>
                <w:shd w:val="clear" w:color="auto" w:fill="FFFFFF"/>
              </w:rPr>
              <w:t>email</w:t>
            </w:r>
            <w:proofErr w:type="spellEnd"/>
            <w:r w:rsidRPr="007711E8">
              <w:rPr>
                <w:shd w:val="clear" w:color="auto" w:fill="FFFFFF"/>
              </w:rPr>
              <w:t xml:space="preserve">: </w:t>
            </w:r>
            <w:hyperlink r:id="rId7" w:history="1">
              <w:r w:rsidRPr="007711E8">
                <w:rPr>
                  <w:rStyle w:val="af3"/>
                  <w:rFonts w:eastAsiaTheme="majorEastAsia"/>
                  <w:color w:val="auto"/>
                </w:rPr>
                <w:t>inbox@sha.vl.court.gov.ua</w:t>
              </w:r>
            </w:hyperlink>
          </w:p>
        </w:tc>
      </w:tr>
      <w:tr w:rsidR="0073028D" w:rsidRPr="0073028D" w:rsidTr="00A215C1">
        <w:tc>
          <w:tcPr>
            <w:tcW w:w="9384" w:type="dxa"/>
            <w:gridSpan w:val="4"/>
          </w:tcPr>
          <w:p w:rsidR="0073028D" w:rsidRDefault="0073028D" w:rsidP="00A215C1">
            <w:pPr>
              <w:pStyle w:val="rvps12"/>
              <w:jc w:val="center"/>
            </w:pPr>
          </w:p>
        </w:tc>
      </w:tr>
      <w:tr w:rsidR="0073028D" w:rsidTr="00A215C1">
        <w:tc>
          <w:tcPr>
            <w:tcW w:w="9384" w:type="dxa"/>
            <w:gridSpan w:val="4"/>
          </w:tcPr>
          <w:p w:rsidR="0073028D" w:rsidRDefault="0073028D" w:rsidP="00A215C1">
            <w:pPr>
              <w:pStyle w:val="rvps12"/>
              <w:jc w:val="center"/>
            </w:pPr>
            <w:r>
              <w:t>Кваліфікаційні вимоги</w:t>
            </w:r>
          </w:p>
        </w:tc>
      </w:tr>
      <w:tr w:rsidR="0073028D" w:rsidRPr="0093619E" w:rsidTr="00A215C1">
        <w:trPr>
          <w:trHeight w:val="1194"/>
        </w:trPr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1</w:t>
            </w:r>
          </w:p>
        </w:tc>
        <w:tc>
          <w:tcPr>
            <w:tcW w:w="2905" w:type="dxa"/>
          </w:tcPr>
          <w:p w:rsidR="0073028D" w:rsidRDefault="0073028D" w:rsidP="00A215C1">
            <w:pPr>
              <w:pStyle w:val="rvps14"/>
            </w:pPr>
            <w:r>
              <w:t>Освіта</w:t>
            </w:r>
          </w:p>
        </w:tc>
        <w:tc>
          <w:tcPr>
            <w:tcW w:w="5910" w:type="dxa"/>
            <w:gridSpan w:val="2"/>
          </w:tcPr>
          <w:p w:rsidR="0073028D" w:rsidRPr="00662BAF" w:rsidRDefault="0073028D" w:rsidP="00A215C1">
            <w:pPr>
              <w:pStyle w:val="rvps14"/>
              <w:jc w:val="both"/>
            </w:pPr>
            <w:r w:rsidRPr="00662BAF">
              <w:t>Вища</w:t>
            </w:r>
            <w:r w:rsidR="008361E6">
              <w:t xml:space="preserve"> юридична</w:t>
            </w:r>
            <w:r w:rsidRPr="00662BAF">
              <w:t xml:space="preserve"> освіта ступен</w:t>
            </w:r>
            <w:r>
              <w:t>я</w:t>
            </w:r>
            <w:r w:rsidRPr="00662BAF">
              <w:t xml:space="preserve"> не нижче молодшого бакалавра або бакалавра за спеціальністю "Правознавство" або «Правоохоронна діяльність»</w:t>
            </w:r>
          </w:p>
        </w:tc>
      </w:tr>
      <w:tr w:rsidR="0073028D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2</w:t>
            </w:r>
          </w:p>
        </w:tc>
        <w:tc>
          <w:tcPr>
            <w:tcW w:w="2905" w:type="dxa"/>
          </w:tcPr>
          <w:p w:rsidR="0073028D" w:rsidRDefault="0073028D" w:rsidP="00A215C1">
            <w:pPr>
              <w:pStyle w:val="rvps14"/>
            </w:pPr>
            <w:r>
              <w:t>Досвід роботи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  <w:jc w:val="both"/>
            </w:pPr>
            <w:r>
              <w:rPr>
                <w:rStyle w:val="rvts0"/>
              </w:rPr>
              <w:t>Без вимог до досвіду роботи</w:t>
            </w:r>
          </w:p>
        </w:tc>
      </w:tr>
      <w:tr w:rsidR="0073028D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3</w:t>
            </w:r>
          </w:p>
        </w:tc>
        <w:tc>
          <w:tcPr>
            <w:tcW w:w="2905" w:type="dxa"/>
          </w:tcPr>
          <w:p w:rsidR="0073028D" w:rsidRDefault="0073028D" w:rsidP="00A215C1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73028D" w:rsidTr="00A215C1">
        <w:tc>
          <w:tcPr>
            <w:tcW w:w="9384" w:type="dxa"/>
            <w:gridSpan w:val="4"/>
            <w:vAlign w:val="center"/>
          </w:tcPr>
          <w:p w:rsidR="0073028D" w:rsidRDefault="0073028D" w:rsidP="00A215C1">
            <w:pPr>
              <w:pStyle w:val="rvps12"/>
              <w:jc w:val="center"/>
            </w:pPr>
            <w:r>
              <w:lastRenderedPageBreak/>
              <w:t xml:space="preserve">Вимоги до компетентності </w:t>
            </w:r>
          </w:p>
        </w:tc>
      </w:tr>
      <w:tr w:rsidR="0073028D" w:rsidRPr="00C75C28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1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>Якісне виконання поставлених завдань</w:t>
            </w:r>
          </w:p>
        </w:tc>
        <w:tc>
          <w:tcPr>
            <w:tcW w:w="5759" w:type="dxa"/>
          </w:tcPr>
          <w:p w:rsidR="0073028D" w:rsidRPr="00D04CC5" w:rsidRDefault="0073028D" w:rsidP="0073028D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spacing w:line="265" w:lineRule="atLeast"/>
              <w:ind w:left="0" w:firstLine="204"/>
              <w:jc w:val="both"/>
              <w:rPr>
                <w:lang w:val="uk-UA"/>
              </w:rPr>
            </w:pPr>
            <w:r w:rsidRPr="00D04CC5">
              <w:rPr>
                <w:lang w:val="uk-UA"/>
              </w:rPr>
              <w:t>Вміння працювати з інформацією;</w:t>
            </w:r>
          </w:p>
          <w:p w:rsidR="0073028D" w:rsidRPr="00761D81" w:rsidRDefault="005B2E70" w:rsidP="0073028D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spacing w:line="265" w:lineRule="atLeast"/>
              <w:ind w:left="0" w:firstLine="204"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досягнення кінцевих результатів</w:t>
            </w:r>
          </w:p>
        </w:tc>
      </w:tr>
      <w:tr w:rsidR="0073028D" w:rsidRPr="009709DF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2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>Командна робота та взаємодія</w:t>
            </w:r>
          </w:p>
        </w:tc>
        <w:tc>
          <w:tcPr>
            <w:tcW w:w="5759" w:type="dxa"/>
          </w:tcPr>
          <w:p w:rsidR="0073028D" w:rsidRDefault="0073028D" w:rsidP="00A215C1">
            <w:pPr>
              <w:pStyle w:val="rvps14"/>
              <w:ind w:firstLine="61"/>
              <w:jc w:val="both"/>
            </w:pPr>
            <w:r>
              <w:t>Вміння працювати в команді</w:t>
            </w:r>
          </w:p>
        </w:tc>
      </w:tr>
      <w:tr w:rsidR="0073028D" w:rsidRPr="00C75C28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3.</w:t>
            </w:r>
          </w:p>
        </w:tc>
        <w:tc>
          <w:tcPr>
            <w:tcW w:w="3056" w:type="dxa"/>
            <w:gridSpan w:val="2"/>
          </w:tcPr>
          <w:p w:rsidR="0073028D" w:rsidRPr="00C17854" w:rsidRDefault="0073028D" w:rsidP="00A215C1">
            <w:pPr>
              <w:pStyle w:val="rvps14"/>
            </w:pPr>
            <w:r>
              <w:t>Сприйняття змін</w:t>
            </w:r>
          </w:p>
        </w:tc>
        <w:tc>
          <w:tcPr>
            <w:tcW w:w="5759" w:type="dxa"/>
            <w:vAlign w:val="center"/>
          </w:tcPr>
          <w:p w:rsidR="0073028D" w:rsidRPr="00CC671E" w:rsidRDefault="0073028D" w:rsidP="00A215C1">
            <w:pPr>
              <w:pStyle w:val="aa"/>
              <w:tabs>
                <w:tab w:val="left" w:pos="462"/>
              </w:tabs>
              <w:spacing w:line="265" w:lineRule="atLeast"/>
              <w:ind w:left="0"/>
              <w:rPr>
                <w:lang w:val="uk-UA"/>
              </w:rPr>
            </w:pPr>
            <w:r>
              <w:rPr>
                <w:lang w:val="uk-UA"/>
              </w:rPr>
              <w:t>Здатність сприймати зміни та змінюватись</w:t>
            </w:r>
          </w:p>
        </w:tc>
      </w:tr>
      <w:tr w:rsidR="0073028D" w:rsidRPr="00C75C28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4.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>Технічні вміння</w:t>
            </w:r>
          </w:p>
        </w:tc>
        <w:tc>
          <w:tcPr>
            <w:tcW w:w="5759" w:type="dxa"/>
            <w:vAlign w:val="center"/>
          </w:tcPr>
          <w:p w:rsidR="0073028D" w:rsidRDefault="0073028D" w:rsidP="00A215C1">
            <w:pPr>
              <w:pStyle w:val="rvps14"/>
              <w:jc w:val="both"/>
            </w:pPr>
            <w: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F00F3B" w:rsidRPr="00CF60FC" w:rsidTr="00A215C1">
        <w:tc>
          <w:tcPr>
            <w:tcW w:w="569" w:type="dxa"/>
          </w:tcPr>
          <w:p w:rsidR="00F00F3B" w:rsidRDefault="00F00F3B" w:rsidP="00A215C1">
            <w:pPr>
              <w:pStyle w:val="rvps12"/>
            </w:pPr>
            <w:r>
              <w:t>5.</w:t>
            </w:r>
          </w:p>
        </w:tc>
        <w:tc>
          <w:tcPr>
            <w:tcW w:w="3056" w:type="dxa"/>
            <w:gridSpan w:val="2"/>
          </w:tcPr>
          <w:p w:rsidR="00F00F3B" w:rsidRDefault="00F00F3B" w:rsidP="00A215C1">
            <w:pPr>
              <w:pStyle w:val="rvps14"/>
            </w:pPr>
            <w:r>
              <w:t>Ділові якості</w:t>
            </w:r>
          </w:p>
        </w:tc>
        <w:tc>
          <w:tcPr>
            <w:tcW w:w="5759" w:type="dxa"/>
            <w:vAlign w:val="center"/>
          </w:tcPr>
          <w:p w:rsidR="00F00F3B" w:rsidRDefault="00613960" w:rsidP="007811FA">
            <w:pPr>
              <w:pStyle w:val="rvps14"/>
              <w:jc w:val="both"/>
            </w:pPr>
            <w:r>
              <w:t>А</w:t>
            </w:r>
            <w:r w:rsidRPr="00DA36D8">
              <w:t xml:space="preserve">налітичні здібності, здатність ризикувати, </w:t>
            </w:r>
            <w:r w:rsidRPr="00DA36D8">
              <w:rPr>
                <w:bCs/>
              </w:rPr>
              <w:t>діалогове</w:t>
            </w:r>
            <w:r w:rsidRPr="00DA36D8">
              <w:t xml:space="preserve"> спілкування (письмове і усне), вміння </w:t>
            </w:r>
            <w:r>
              <w:t>активно слухати</w:t>
            </w:r>
            <w:r w:rsidRPr="00DA36D8">
              <w:t>, уміння дотримуватись субординації, вміння вести перемовини, вимогливість, оперативність, вміння визначати пріоритети,</w:t>
            </w:r>
            <w:r>
              <w:t xml:space="preserve"> вміння аргументовано доводити власну точку зору,</w:t>
            </w:r>
            <w:r w:rsidRPr="00DA36D8">
              <w:t xml:space="preserve"> уміння працювати в команді</w:t>
            </w:r>
          </w:p>
        </w:tc>
      </w:tr>
      <w:tr w:rsidR="0073028D" w:rsidRPr="00CF60FC" w:rsidTr="00A215C1">
        <w:tc>
          <w:tcPr>
            <w:tcW w:w="569" w:type="dxa"/>
          </w:tcPr>
          <w:p w:rsidR="0073028D" w:rsidRDefault="00F00F3B" w:rsidP="00A215C1">
            <w:pPr>
              <w:pStyle w:val="rvps12"/>
            </w:pPr>
            <w:r>
              <w:t>6</w:t>
            </w:r>
            <w:r w:rsidR="0073028D">
              <w:t>.</w:t>
            </w:r>
          </w:p>
        </w:tc>
        <w:tc>
          <w:tcPr>
            <w:tcW w:w="3056" w:type="dxa"/>
            <w:gridSpan w:val="2"/>
          </w:tcPr>
          <w:p w:rsidR="0073028D" w:rsidRPr="00C17854" w:rsidRDefault="0073028D" w:rsidP="00A215C1">
            <w:pPr>
              <w:pStyle w:val="rvps14"/>
            </w:pPr>
            <w:r>
              <w:t>Особисті якості</w:t>
            </w:r>
          </w:p>
        </w:tc>
        <w:tc>
          <w:tcPr>
            <w:tcW w:w="5759" w:type="dxa"/>
            <w:vAlign w:val="center"/>
          </w:tcPr>
          <w:p w:rsidR="0073028D" w:rsidRPr="00C17854" w:rsidRDefault="0073028D" w:rsidP="007811FA">
            <w:pPr>
              <w:pStyle w:val="rvps14"/>
              <w:jc w:val="both"/>
            </w:pPr>
            <w:r>
              <w:t xml:space="preserve">Відповідальність, </w:t>
            </w:r>
            <w:r w:rsidR="00F00F3B" w:rsidRPr="00DA36D8">
              <w:t xml:space="preserve">ініціативність, надійність, порядність, чесність, </w:t>
            </w:r>
            <w:r w:rsidR="00F00F3B">
              <w:t xml:space="preserve">дисциплінованість, контроль емоцій, комунікабельність, повага до інших, </w:t>
            </w:r>
            <w:r w:rsidR="00F00F3B" w:rsidRPr="00DA36D8">
              <w:t>відповідальність,</w:t>
            </w:r>
            <w:r w:rsidR="00F00F3B">
              <w:t xml:space="preserve"> рішучість,</w:t>
            </w:r>
            <w:r w:rsidR="00F00F3B" w:rsidRPr="00DA36D8">
              <w:t xml:space="preserve"> неупередженість, гнучкість</w:t>
            </w:r>
            <w:r w:rsidR="00F00F3B">
              <w:t>.</w:t>
            </w:r>
          </w:p>
        </w:tc>
      </w:tr>
      <w:tr w:rsidR="0073028D" w:rsidRPr="00CF60FC" w:rsidTr="00A215C1">
        <w:tc>
          <w:tcPr>
            <w:tcW w:w="9384" w:type="dxa"/>
            <w:gridSpan w:val="4"/>
          </w:tcPr>
          <w:p w:rsidR="0073028D" w:rsidRDefault="0073028D" w:rsidP="00A215C1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73028D" w:rsidRPr="009709DF" w:rsidTr="00A215C1">
        <w:tc>
          <w:tcPr>
            <w:tcW w:w="9384" w:type="dxa"/>
            <w:gridSpan w:val="4"/>
          </w:tcPr>
          <w:p w:rsidR="0073028D" w:rsidRDefault="0073028D" w:rsidP="00A215C1">
            <w:pPr>
              <w:pStyle w:val="rvps14"/>
              <w:spacing w:before="0" w:beforeAutospacing="0" w:after="0" w:afterAutospacing="0"/>
              <w:jc w:val="center"/>
            </w:pPr>
            <w:r>
              <w:t>Професійні знання</w:t>
            </w:r>
          </w:p>
        </w:tc>
      </w:tr>
      <w:tr w:rsidR="0073028D" w:rsidRPr="009709DF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1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>Знання законодавства</w:t>
            </w:r>
          </w:p>
        </w:tc>
        <w:tc>
          <w:tcPr>
            <w:tcW w:w="5759" w:type="dxa"/>
          </w:tcPr>
          <w:p w:rsidR="0073028D" w:rsidRDefault="0073028D" w:rsidP="00A215C1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-81" w:firstLine="81"/>
              <w:jc w:val="both"/>
            </w:pPr>
            <w:r>
              <w:t>Конституція України;</w:t>
            </w:r>
          </w:p>
          <w:p w:rsidR="0073028D" w:rsidRDefault="0073028D" w:rsidP="00A215C1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Закон України </w:t>
            </w:r>
            <w:r>
              <w:rPr>
                <w:rFonts w:ascii="Calibri" w:hAnsi="Calibri"/>
              </w:rPr>
              <w:t>"</w:t>
            </w:r>
            <w:r>
              <w:t>Про державну службу</w:t>
            </w:r>
            <w:r>
              <w:rPr>
                <w:rFonts w:ascii="Calibri" w:hAnsi="Calibri"/>
              </w:rPr>
              <w:t>"</w:t>
            </w:r>
            <w:r>
              <w:t>;</w:t>
            </w:r>
          </w:p>
          <w:p w:rsidR="0073028D" w:rsidRDefault="0073028D" w:rsidP="005B2E70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Закон України </w:t>
            </w:r>
            <w:r>
              <w:rPr>
                <w:rFonts w:ascii="Calibri" w:hAnsi="Calibri"/>
              </w:rPr>
              <w:t>"</w:t>
            </w:r>
            <w:r>
              <w:t>Про запобігання корупції</w:t>
            </w:r>
            <w:r>
              <w:rPr>
                <w:rFonts w:ascii="Calibri" w:hAnsi="Calibri"/>
              </w:rPr>
              <w:t>"</w:t>
            </w:r>
          </w:p>
        </w:tc>
      </w:tr>
      <w:tr w:rsidR="0073028D" w:rsidRPr="00BC20AA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2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59" w:type="dxa"/>
          </w:tcPr>
          <w:p w:rsidR="0073028D" w:rsidRPr="00674EEE" w:rsidRDefault="0073028D" w:rsidP="00A215C1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firstLine="0"/>
              <w:jc w:val="both"/>
              <w:rPr>
                <w:lang w:val="uk-UA"/>
              </w:rPr>
            </w:pPr>
            <w:r w:rsidRPr="00674EEE">
              <w:rPr>
                <w:lang w:val="uk-UA"/>
              </w:rPr>
              <w:t>Закон України "Про судоустрій та статус суддів";</w:t>
            </w:r>
          </w:p>
          <w:p w:rsidR="0073028D" w:rsidRPr="007811FA" w:rsidRDefault="0073028D" w:rsidP="00A215C1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firstLine="0"/>
              <w:jc w:val="both"/>
              <w:rPr>
                <w:lang w:val="uk-UA"/>
              </w:rPr>
            </w:pPr>
            <w:r w:rsidRPr="00674EEE">
              <w:rPr>
                <w:color w:val="000000"/>
                <w:lang w:val="uk-UA"/>
              </w:rPr>
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затвердженої наказом ДСА України № 173 від 17.12.2013 року</w:t>
            </w:r>
            <w:r>
              <w:rPr>
                <w:color w:val="000000"/>
                <w:lang w:val="uk-UA"/>
              </w:rPr>
              <w:t>;</w:t>
            </w:r>
          </w:p>
          <w:p w:rsidR="007811FA" w:rsidRPr="00674EEE" w:rsidRDefault="007811FA" w:rsidP="00A215C1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Інструкція про порядок роботи з технічними засобами фіксування судового процесу.</w:t>
            </w:r>
          </w:p>
          <w:p w:rsidR="0073028D" w:rsidRPr="00674EEE" w:rsidRDefault="0073028D" w:rsidP="0073028D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000000"/>
                <w:lang w:val="uk-UA" w:eastAsia="uk-UA"/>
              </w:rPr>
            </w:pPr>
            <w:r w:rsidRPr="00674EEE">
              <w:rPr>
                <w:color w:val="000000"/>
                <w:lang w:val="uk-UA" w:eastAsia="uk-UA"/>
              </w:rPr>
              <w:t>Цивільний процесуальний кодекс України;</w:t>
            </w:r>
          </w:p>
          <w:p w:rsidR="0073028D" w:rsidRPr="00674EEE" w:rsidRDefault="0073028D" w:rsidP="0073028D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lang w:val="uk-UA" w:eastAsia="uk-UA"/>
              </w:rPr>
            </w:pPr>
            <w:r w:rsidRPr="00674EEE">
              <w:rPr>
                <w:color w:val="000000"/>
                <w:lang w:val="uk-UA" w:eastAsia="uk-UA"/>
              </w:rPr>
              <w:t>Кримінальний процесуальний кодекс України;</w:t>
            </w:r>
          </w:p>
          <w:p w:rsidR="0073028D" w:rsidRPr="00674EEE" w:rsidRDefault="0073028D" w:rsidP="0073028D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000000"/>
                <w:lang w:val="uk-UA" w:eastAsia="uk-UA"/>
              </w:rPr>
            </w:pPr>
            <w:r w:rsidRPr="00674EEE">
              <w:rPr>
                <w:color w:val="000000"/>
                <w:lang w:val="uk-UA" w:eastAsia="uk-UA"/>
              </w:rPr>
              <w:t>Кодекс адміністративного судочинства України;</w:t>
            </w:r>
          </w:p>
          <w:p w:rsidR="0073028D" w:rsidRPr="00674EEE" w:rsidRDefault="0073028D" w:rsidP="007811FA">
            <w:pPr>
              <w:pStyle w:val="aa"/>
              <w:widowControl/>
              <w:tabs>
                <w:tab w:val="left" w:pos="203"/>
                <w:tab w:val="left" w:pos="275"/>
              </w:tabs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lang w:val="uk-UA"/>
              </w:rPr>
            </w:pPr>
          </w:p>
        </w:tc>
      </w:tr>
    </w:tbl>
    <w:p w:rsidR="00DD075B" w:rsidRPr="0073028D" w:rsidRDefault="00DD075B">
      <w:pPr>
        <w:rPr>
          <w:lang w:val="uk-UA"/>
        </w:rPr>
      </w:pPr>
    </w:p>
    <w:sectPr w:rsidR="00DD075B" w:rsidRPr="0073028D" w:rsidSect="00403D3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5BB"/>
    <w:multiLevelType w:val="hybridMultilevel"/>
    <w:tmpl w:val="1EFE53BC"/>
    <w:lvl w:ilvl="0" w:tplc="DF94E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D67"/>
    <w:multiLevelType w:val="hybridMultilevel"/>
    <w:tmpl w:val="977633A6"/>
    <w:lvl w:ilvl="0" w:tplc="B08A2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3141"/>
    <w:multiLevelType w:val="hybridMultilevel"/>
    <w:tmpl w:val="0568B2CE"/>
    <w:lvl w:ilvl="0" w:tplc="0CA800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028D"/>
    <w:rsid w:val="000A6C00"/>
    <w:rsid w:val="001A55FE"/>
    <w:rsid w:val="004B3044"/>
    <w:rsid w:val="005323A8"/>
    <w:rsid w:val="005B2E70"/>
    <w:rsid w:val="00613960"/>
    <w:rsid w:val="0073028D"/>
    <w:rsid w:val="0076270F"/>
    <w:rsid w:val="0077586F"/>
    <w:rsid w:val="007811FA"/>
    <w:rsid w:val="008361E6"/>
    <w:rsid w:val="0088303E"/>
    <w:rsid w:val="008B1AD4"/>
    <w:rsid w:val="00A31082"/>
    <w:rsid w:val="00B32E20"/>
    <w:rsid w:val="00BB0874"/>
    <w:rsid w:val="00CF60FC"/>
    <w:rsid w:val="00DD075B"/>
    <w:rsid w:val="00F00F3B"/>
    <w:rsid w:val="00F10866"/>
    <w:rsid w:val="00F5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23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3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3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3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3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3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3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3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3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3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23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3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23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23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23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23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23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23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323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23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23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23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23A8"/>
    <w:rPr>
      <w:b/>
      <w:bCs/>
    </w:rPr>
  </w:style>
  <w:style w:type="character" w:styleId="a8">
    <w:name w:val="Emphasis"/>
    <w:basedOn w:val="a0"/>
    <w:qFormat/>
    <w:rsid w:val="005323A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5323A8"/>
    <w:rPr>
      <w:szCs w:val="32"/>
    </w:rPr>
  </w:style>
  <w:style w:type="paragraph" w:styleId="aa">
    <w:name w:val="List Paragraph"/>
    <w:basedOn w:val="a"/>
    <w:uiPriority w:val="34"/>
    <w:qFormat/>
    <w:rsid w:val="005323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3A8"/>
    <w:rPr>
      <w:i/>
    </w:rPr>
  </w:style>
  <w:style w:type="character" w:customStyle="1" w:styleId="22">
    <w:name w:val="Цитата 2 Знак"/>
    <w:basedOn w:val="a0"/>
    <w:link w:val="21"/>
    <w:uiPriority w:val="29"/>
    <w:rsid w:val="005323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23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23A8"/>
    <w:rPr>
      <w:b/>
      <w:i/>
      <w:sz w:val="24"/>
    </w:rPr>
  </w:style>
  <w:style w:type="character" w:styleId="ad">
    <w:name w:val="Subtle Emphasis"/>
    <w:uiPriority w:val="19"/>
    <w:qFormat/>
    <w:rsid w:val="005323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23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23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23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23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23A8"/>
    <w:pPr>
      <w:outlineLvl w:val="9"/>
    </w:pPr>
  </w:style>
  <w:style w:type="character" w:customStyle="1" w:styleId="rvts15">
    <w:name w:val="rvts15"/>
    <w:basedOn w:val="a0"/>
    <w:rsid w:val="0073028D"/>
    <w:rPr>
      <w:rFonts w:cs="Times New Roman"/>
    </w:rPr>
  </w:style>
  <w:style w:type="character" w:styleId="af3">
    <w:name w:val="Hyperlink"/>
    <w:basedOn w:val="a0"/>
    <w:uiPriority w:val="99"/>
    <w:unhideWhenUsed/>
    <w:rsid w:val="0073028D"/>
    <w:rPr>
      <w:color w:val="0000FF"/>
      <w:u w:val="single"/>
    </w:rPr>
  </w:style>
  <w:style w:type="paragraph" w:customStyle="1" w:styleId="rvps12">
    <w:name w:val="rvps12"/>
    <w:basedOn w:val="a"/>
    <w:rsid w:val="0073028D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73028D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73028D"/>
  </w:style>
  <w:style w:type="paragraph" w:customStyle="1" w:styleId="rvps2">
    <w:name w:val="rvps2"/>
    <w:basedOn w:val="a"/>
    <w:rsid w:val="0073028D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styleId="af4">
    <w:name w:val="Normal (Web)"/>
    <w:basedOn w:val="a"/>
    <w:unhideWhenUsed/>
    <w:rsid w:val="0073028D"/>
    <w:pPr>
      <w:widowControl/>
      <w:autoSpaceDE/>
      <w:autoSpaceDN/>
      <w:adjustRightInd/>
      <w:spacing w:before="100" w:beforeAutospacing="1" w:after="100" w:afterAutospacing="1"/>
    </w:pPr>
    <w:rPr>
      <w:lang w:val="uk-UA"/>
    </w:rPr>
  </w:style>
  <w:style w:type="paragraph" w:customStyle="1" w:styleId="Standard">
    <w:name w:val="Standard"/>
    <w:rsid w:val="007811FA"/>
    <w:pPr>
      <w:suppressAutoHyphens/>
      <w:autoSpaceDN w:val="0"/>
    </w:pPr>
    <w:rPr>
      <w:rFonts w:ascii="Calibri" w:eastAsia="Times New Roman" w:hAnsi="Calibri"/>
      <w:kern w:val="3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sha.vl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5910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cp:lastPrinted>2018-05-22T13:38:00Z</cp:lastPrinted>
  <dcterms:created xsi:type="dcterms:W3CDTF">2018-05-17T12:26:00Z</dcterms:created>
  <dcterms:modified xsi:type="dcterms:W3CDTF">2018-05-22T13:41:00Z</dcterms:modified>
</cp:coreProperties>
</file>